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F5" w:rsidRDefault="00D70CF5" w:rsidP="00D70CF5">
      <w:pPr>
        <w:jc w:val="center"/>
        <w:rPr>
          <w:b/>
          <w:bCs/>
          <w:sz w:val="28"/>
          <w:szCs w:val="28"/>
          <w:lang/>
        </w:rPr>
      </w:pPr>
      <w:r>
        <w:rPr>
          <w:b/>
          <w:bCs/>
          <w:sz w:val="28"/>
          <w:szCs w:val="28"/>
          <w:lang/>
        </w:rPr>
        <w:t>ВИСОКА ПОСЛОВНО-ТЕХНИЧКА ШКОЛА</w:t>
      </w:r>
    </w:p>
    <w:p w:rsidR="00D70CF5" w:rsidRDefault="00D70CF5" w:rsidP="00D70CF5">
      <w:pPr>
        <w:jc w:val="center"/>
        <w:rPr>
          <w:b/>
          <w:bCs/>
          <w:sz w:val="28"/>
          <w:szCs w:val="28"/>
          <w:lang w:val="en-US"/>
        </w:rPr>
      </w:pPr>
      <w:r>
        <w:rPr>
          <w:b/>
          <w:bCs/>
          <w:sz w:val="28"/>
          <w:szCs w:val="28"/>
          <w:lang/>
        </w:rPr>
        <w:t>СТРУКОВНИХ СТУДИЈА</w:t>
      </w:r>
      <w:r>
        <w:rPr>
          <w:b/>
          <w:bCs/>
          <w:sz w:val="28"/>
          <w:szCs w:val="28"/>
          <w:lang w:val="en-US"/>
        </w:rPr>
        <w:t xml:space="preserve"> </w:t>
      </w:r>
    </w:p>
    <w:p w:rsidR="00D70CF5" w:rsidRDefault="00D70CF5" w:rsidP="00D70CF5">
      <w:pPr>
        <w:jc w:val="center"/>
        <w:rPr>
          <w:sz w:val="32"/>
          <w:szCs w:val="32"/>
          <w:lang/>
        </w:rPr>
      </w:pPr>
    </w:p>
    <w:p w:rsidR="00D70CF5" w:rsidRPr="00C57B82" w:rsidRDefault="00D70CF5" w:rsidP="00D70CF5">
      <w:pPr>
        <w:jc w:val="center"/>
        <w:rPr>
          <w:sz w:val="32"/>
          <w:szCs w:val="32"/>
          <w:lang/>
        </w:rPr>
      </w:pPr>
    </w:p>
    <w:p w:rsidR="00D70CF5" w:rsidRPr="00C57B82" w:rsidRDefault="00D70CF5" w:rsidP="00D70CF5">
      <w:pPr>
        <w:jc w:val="center"/>
        <w:rPr>
          <w:b/>
          <w:sz w:val="28"/>
          <w:szCs w:val="28"/>
          <w:lang/>
        </w:rPr>
      </w:pPr>
      <w:r>
        <w:rPr>
          <w:b/>
          <w:sz w:val="28"/>
          <w:szCs w:val="28"/>
          <w:lang/>
        </w:rPr>
        <w:t>СТУДИЈСКИ ПРОГРАМ</w:t>
      </w:r>
      <w:r w:rsidRPr="00C57B82">
        <w:rPr>
          <w:b/>
          <w:sz w:val="28"/>
          <w:szCs w:val="28"/>
        </w:rPr>
        <w:t>: МЕНАЏМЕНТ</w:t>
      </w: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center"/>
        <w:rPr>
          <w:sz w:val="32"/>
          <w:szCs w:val="32"/>
          <w:lang w:val="en-US"/>
        </w:rPr>
      </w:pPr>
    </w:p>
    <w:p w:rsidR="00D70CF5" w:rsidRDefault="00D70CF5" w:rsidP="00D70CF5">
      <w:pPr>
        <w:jc w:val="both"/>
        <w:rPr>
          <w:sz w:val="32"/>
          <w:szCs w:val="32"/>
          <w:lang w:val="en-US"/>
        </w:rPr>
      </w:pPr>
    </w:p>
    <w:p w:rsidR="00D70CF5" w:rsidRDefault="00D70CF5" w:rsidP="00D70CF5">
      <w:pPr>
        <w:jc w:val="center"/>
        <w:rPr>
          <w:b/>
          <w:bCs/>
          <w:sz w:val="36"/>
          <w:szCs w:val="36"/>
          <w:lang/>
        </w:rPr>
      </w:pPr>
      <w:r>
        <w:rPr>
          <w:b/>
          <w:bCs/>
          <w:sz w:val="36"/>
          <w:szCs w:val="36"/>
          <w:lang/>
        </w:rPr>
        <w:t>УНАПРЕЂЕЊЕ ОДНОСА С ЈАВНОШЋУ У ДРЖАВНИМ ИНСТИТУЦИЈАМА НА ПРИМЕРУ “МУП - ПОЛИЦИЈСКА УПРАВА ПРИЈЕПОЉЕ”</w:t>
      </w:r>
    </w:p>
    <w:p w:rsidR="00D70CF5" w:rsidRDefault="00D70CF5" w:rsidP="00D70CF5">
      <w:pPr>
        <w:jc w:val="center"/>
        <w:rPr>
          <w:b/>
          <w:bCs/>
          <w:sz w:val="36"/>
          <w:szCs w:val="36"/>
          <w:lang/>
        </w:rPr>
      </w:pPr>
    </w:p>
    <w:p w:rsidR="00D70CF5" w:rsidRDefault="00D70CF5" w:rsidP="00D70CF5">
      <w:pPr>
        <w:tabs>
          <w:tab w:val="left" w:pos="645"/>
          <w:tab w:val="center" w:pos="4680"/>
        </w:tabs>
        <w:jc w:val="center"/>
        <w:rPr>
          <w:sz w:val="40"/>
          <w:szCs w:val="40"/>
          <w:lang/>
        </w:rPr>
      </w:pPr>
      <w:r>
        <w:rPr>
          <w:b/>
          <w:bCs/>
          <w:sz w:val="28"/>
          <w:szCs w:val="28"/>
          <w:lang/>
        </w:rPr>
        <w:t>СПЕЦИЈАЛИСТИЧКИ РАД</w:t>
      </w:r>
    </w:p>
    <w:p w:rsidR="00D70CF5" w:rsidRDefault="00D70CF5" w:rsidP="00D70CF5">
      <w:pPr>
        <w:tabs>
          <w:tab w:val="left" w:pos="645"/>
          <w:tab w:val="center" w:pos="4680"/>
        </w:tabs>
        <w:jc w:val="center"/>
        <w:rPr>
          <w:sz w:val="40"/>
          <w:szCs w:val="40"/>
          <w:lang w:val="en-US"/>
        </w:rPr>
      </w:pPr>
    </w:p>
    <w:p w:rsidR="00D70CF5" w:rsidRDefault="00D70CF5" w:rsidP="00D70CF5">
      <w:pPr>
        <w:tabs>
          <w:tab w:val="left" w:pos="645"/>
          <w:tab w:val="center" w:pos="4680"/>
        </w:tabs>
        <w:jc w:val="center"/>
        <w:rPr>
          <w:sz w:val="40"/>
          <w:szCs w:val="40"/>
          <w:lang w:val="en-US"/>
        </w:rPr>
      </w:pPr>
    </w:p>
    <w:p w:rsidR="00D70CF5" w:rsidRDefault="00D70CF5" w:rsidP="00D70CF5">
      <w:pPr>
        <w:tabs>
          <w:tab w:val="left" w:pos="645"/>
          <w:tab w:val="center" w:pos="4680"/>
          <w:tab w:val="left" w:pos="5454"/>
        </w:tabs>
        <w:rPr>
          <w:sz w:val="40"/>
          <w:szCs w:val="40"/>
          <w:lang/>
        </w:rPr>
      </w:pPr>
      <w:r>
        <w:rPr>
          <w:sz w:val="40"/>
          <w:szCs w:val="40"/>
          <w:lang/>
        </w:rPr>
        <w:tab/>
      </w:r>
      <w:r>
        <w:rPr>
          <w:sz w:val="40"/>
          <w:szCs w:val="40"/>
          <w:lang/>
        </w:rPr>
        <w:tab/>
      </w:r>
    </w:p>
    <w:p w:rsidR="00D70CF5" w:rsidRDefault="00D70CF5" w:rsidP="00D70CF5">
      <w:pPr>
        <w:tabs>
          <w:tab w:val="left" w:pos="645"/>
          <w:tab w:val="center" w:pos="4680"/>
          <w:tab w:val="left" w:pos="5454"/>
        </w:tabs>
        <w:rPr>
          <w:sz w:val="40"/>
          <w:szCs w:val="40"/>
          <w:lang/>
        </w:rPr>
      </w:pPr>
    </w:p>
    <w:p w:rsidR="00D70CF5" w:rsidRDefault="00D70CF5" w:rsidP="00D70CF5">
      <w:pPr>
        <w:tabs>
          <w:tab w:val="left" w:pos="645"/>
          <w:tab w:val="center" w:pos="4680"/>
          <w:tab w:val="left" w:pos="5454"/>
        </w:tabs>
        <w:rPr>
          <w:sz w:val="40"/>
          <w:szCs w:val="40"/>
          <w:lang/>
        </w:rPr>
      </w:pPr>
    </w:p>
    <w:p w:rsidR="00D70CF5" w:rsidRDefault="00D70CF5" w:rsidP="00D70CF5">
      <w:pPr>
        <w:tabs>
          <w:tab w:val="left" w:pos="645"/>
          <w:tab w:val="center" w:pos="4680"/>
          <w:tab w:val="left" w:pos="5454"/>
        </w:tabs>
        <w:rPr>
          <w:sz w:val="40"/>
          <w:szCs w:val="40"/>
          <w:lang/>
        </w:rPr>
      </w:pPr>
    </w:p>
    <w:p w:rsidR="00D70CF5" w:rsidRDefault="00D70CF5" w:rsidP="00D70CF5">
      <w:pPr>
        <w:tabs>
          <w:tab w:val="center" w:pos="4680"/>
          <w:tab w:val="left" w:pos="5034"/>
        </w:tabs>
        <w:jc w:val="both"/>
        <w:rPr>
          <w:b/>
          <w:bCs/>
          <w:sz w:val="32"/>
          <w:szCs w:val="32"/>
          <w:lang/>
        </w:rPr>
      </w:pPr>
      <w:r>
        <w:rPr>
          <w:sz w:val="40"/>
          <w:szCs w:val="40"/>
          <w:lang/>
        </w:rPr>
        <w:t xml:space="preserve">                                  </w:t>
      </w:r>
      <w:r>
        <w:rPr>
          <w:sz w:val="40"/>
          <w:szCs w:val="40"/>
          <w:lang/>
        </w:rPr>
        <w:t xml:space="preserve">       </w:t>
      </w:r>
      <w:r>
        <w:rPr>
          <w:sz w:val="40"/>
          <w:szCs w:val="40"/>
          <w:lang/>
        </w:rPr>
        <w:t xml:space="preserve"> </w:t>
      </w:r>
      <w:r>
        <w:rPr>
          <w:b/>
          <w:bCs/>
          <w:sz w:val="32"/>
          <w:szCs w:val="32"/>
          <w:lang/>
        </w:rPr>
        <w:t>Кандидат</w:t>
      </w:r>
      <w:r>
        <w:rPr>
          <w:b/>
          <w:bCs/>
          <w:sz w:val="32"/>
          <w:szCs w:val="32"/>
          <w:lang w:val="en-US"/>
        </w:rPr>
        <w:t>:</w:t>
      </w:r>
    </w:p>
    <w:p w:rsidR="00D70CF5" w:rsidRDefault="00D70CF5" w:rsidP="00D70CF5">
      <w:pPr>
        <w:tabs>
          <w:tab w:val="center" w:pos="4590"/>
        </w:tabs>
        <w:jc w:val="center"/>
        <w:rPr>
          <w:b/>
          <w:bCs/>
          <w:sz w:val="32"/>
          <w:szCs w:val="32"/>
          <w:lang w:val="en-US"/>
        </w:rPr>
      </w:pPr>
      <w:r>
        <w:rPr>
          <w:b/>
          <w:bCs/>
          <w:sz w:val="32"/>
          <w:szCs w:val="32"/>
          <w:lang/>
        </w:rPr>
        <w:t xml:space="preserve">                       </w:t>
      </w:r>
      <w:r>
        <w:rPr>
          <w:b/>
          <w:bCs/>
          <w:sz w:val="32"/>
          <w:szCs w:val="32"/>
          <w:lang/>
        </w:rPr>
        <w:t>Јованка Дадић</w:t>
      </w:r>
      <w:r>
        <w:rPr>
          <w:b/>
          <w:bCs/>
          <w:sz w:val="32"/>
          <w:szCs w:val="32"/>
          <w:lang w:val="en-US"/>
        </w:rPr>
        <w:t xml:space="preserve">  </w:t>
      </w:r>
    </w:p>
    <w:p w:rsidR="00D70CF5" w:rsidRDefault="00D70CF5" w:rsidP="00D70CF5">
      <w:pPr>
        <w:tabs>
          <w:tab w:val="left" w:pos="645"/>
          <w:tab w:val="center" w:pos="4680"/>
        </w:tabs>
        <w:rPr>
          <w:b/>
          <w:bCs/>
          <w:sz w:val="32"/>
          <w:szCs w:val="32"/>
          <w:lang/>
        </w:rPr>
      </w:pPr>
    </w:p>
    <w:p w:rsidR="00D70CF5" w:rsidRDefault="00D70CF5" w:rsidP="00D70CF5">
      <w:pPr>
        <w:tabs>
          <w:tab w:val="left" w:pos="645"/>
          <w:tab w:val="center" w:pos="4680"/>
        </w:tabs>
        <w:rPr>
          <w:b/>
          <w:bCs/>
          <w:sz w:val="32"/>
          <w:szCs w:val="32"/>
          <w:lang/>
        </w:rPr>
      </w:pPr>
    </w:p>
    <w:p w:rsidR="00D70CF5" w:rsidRDefault="00D70CF5" w:rsidP="00D70CF5">
      <w:pPr>
        <w:tabs>
          <w:tab w:val="left" w:pos="645"/>
          <w:tab w:val="center" w:pos="4680"/>
        </w:tabs>
        <w:rPr>
          <w:b/>
          <w:bCs/>
          <w:sz w:val="32"/>
          <w:szCs w:val="32"/>
          <w:lang/>
        </w:rPr>
      </w:pPr>
    </w:p>
    <w:p w:rsidR="00D70CF5" w:rsidRDefault="00D70CF5" w:rsidP="00D70CF5">
      <w:pPr>
        <w:tabs>
          <w:tab w:val="left" w:pos="645"/>
          <w:tab w:val="center" w:pos="4680"/>
        </w:tabs>
        <w:rPr>
          <w:b/>
          <w:bCs/>
          <w:sz w:val="32"/>
          <w:szCs w:val="32"/>
          <w:lang w:val="en-US"/>
        </w:rPr>
      </w:pPr>
      <w:r>
        <w:rPr>
          <w:b/>
          <w:bCs/>
          <w:sz w:val="32"/>
          <w:szCs w:val="32"/>
          <w:lang/>
        </w:rPr>
        <w:t xml:space="preserve">                                                    </w:t>
      </w:r>
      <w:r>
        <w:rPr>
          <w:b/>
          <w:bCs/>
          <w:sz w:val="32"/>
          <w:szCs w:val="32"/>
          <w:lang/>
        </w:rPr>
        <w:t>Ментор</w:t>
      </w:r>
      <w:r>
        <w:rPr>
          <w:b/>
          <w:bCs/>
          <w:sz w:val="32"/>
          <w:szCs w:val="32"/>
          <w:lang w:val="en-US"/>
        </w:rPr>
        <w:t xml:space="preserve">:                                                      </w:t>
      </w:r>
      <w:r>
        <w:rPr>
          <w:b/>
          <w:bCs/>
          <w:sz w:val="32"/>
          <w:szCs w:val="32"/>
          <w:lang/>
        </w:rPr>
        <w:t xml:space="preserve">    </w:t>
      </w:r>
    </w:p>
    <w:p w:rsidR="00D70CF5" w:rsidRDefault="00D70CF5" w:rsidP="00D70CF5">
      <w:pPr>
        <w:tabs>
          <w:tab w:val="left" w:pos="645"/>
          <w:tab w:val="center" w:pos="4680"/>
        </w:tabs>
        <w:rPr>
          <w:sz w:val="28"/>
          <w:szCs w:val="28"/>
          <w:lang w:val="en-US"/>
        </w:rPr>
      </w:pPr>
      <w:r>
        <w:rPr>
          <w:b/>
          <w:bCs/>
          <w:sz w:val="32"/>
          <w:szCs w:val="32"/>
          <w:lang/>
        </w:rPr>
        <w:t xml:space="preserve">                                                    </w:t>
      </w:r>
      <w:r>
        <w:rPr>
          <w:b/>
          <w:bCs/>
          <w:sz w:val="32"/>
          <w:szCs w:val="32"/>
          <w:lang/>
        </w:rPr>
        <w:t>Проф. др Милан Мартиновић</w:t>
      </w:r>
      <w:r>
        <w:rPr>
          <w:b/>
          <w:bCs/>
          <w:sz w:val="32"/>
          <w:szCs w:val="32"/>
          <w:lang w:val="en-US"/>
        </w:rPr>
        <w:t xml:space="preserve"> </w:t>
      </w:r>
      <w:r>
        <w:rPr>
          <w:sz w:val="28"/>
          <w:szCs w:val="28"/>
          <w:lang w:val="en-US"/>
        </w:rPr>
        <w:t xml:space="preserve">                              </w:t>
      </w:r>
    </w:p>
    <w:p w:rsidR="00D70CF5" w:rsidRDefault="00D70CF5" w:rsidP="00D70CF5">
      <w:pPr>
        <w:tabs>
          <w:tab w:val="left" w:pos="645"/>
          <w:tab w:val="center" w:pos="4680"/>
        </w:tabs>
        <w:rPr>
          <w:sz w:val="28"/>
          <w:szCs w:val="28"/>
          <w:lang w:val="en-US"/>
        </w:rPr>
      </w:pPr>
    </w:p>
    <w:p w:rsidR="00D70CF5" w:rsidRPr="00C57B82" w:rsidRDefault="00D70CF5" w:rsidP="00D70CF5">
      <w:pPr>
        <w:pStyle w:val="Heading1"/>
        <w:jc w:val="both"/>
        <w:rPr>
          <w:rFonts w:ascii="Times New Roman" w:hAnsi="Times New Roman"/>
          <w:b w:val="0"/>
          <w:bCs w:val="0"/>
          <w:sz w:val="28"/>
          <w:szCs w:val="28"/>
          <w:lang/>
        </w:rPr>
      </w:pPr>
    </w:p>
    <w:p w:rsidR="00D70CF5" w:rsidRDefault="00D70CF5" w:rsidP="00D70CF5">
      <w:pPr>
        <w:pStyle w:val="Heading1"/>
        <w:jc w:val="center"/>
        <w:rPr>
          <w:rFonts w:ascii="Times New Roman" w:hAnsi="Times New Roman"/>
          <w:sz w:val="28"/>
          <w:szCs w:val="28"/>
          <w:lang w:val="en-US"/>
        </w:rPr>
        <w:sectPr w:rsidR="00D70CF5">
          <w:headerReference w:type="default" r:id="rId4"/>
          <w:footerReference w:type="default" r:id="rId5"/>
          <w:headerReference w:type="first" r:id="rId6"/>
          <w:footerReference w:type="first" r:id="rId7"/>
          <w:pgSz w:w="11906" w:h="16838"/>
          <w:pgMar w:top="1417" w:right="1417" w:bottom="1417" w:left="1984" w:header="708" w:footer="708" w:gutter="0"/>
          <w:cols w:space="720"/>
          <w:titlePg/>
          <w:docGrid w:linePitch="360"/>
        </w:sectPr>
      </w:pPr>
      <w:bookmarkStart w:id="0" w:name="_Toc4543"/>
      <w:bookmarkStart w:id="1" w:name="_Toc777"/>
      <w:bookmarkStart w:id="2" w:name="_Toc32491"/>
      <w:r>
        <w:rPr>
          <w:rFonts w:ascii="Times New Roman" w:hAnsi="Times New Roman"/>
          <w:sz w:val="28"/>
          <w:szCs w:val="28"/>
          <w:lang/>
        </w:rPr>
        <w:t>Ужице</w:t>
      </w:r>
      <w:r>
        <w:rPr>
          <w:rFonts w:ascii="Times New Roman" w:hAnsi="Times New Roman"/>
          <w:sz w:val="28"/>
          <w:szCs w:val="28"/>
          <w:lang w:val="en-US"/>
        </w:rPr>
        <w:t>,</w:t>
      </w:r>
      <w:r>
        <w:rPr>
          <w:rFonts w:ascii="Times New Roman" w:hAnsi="Times New Roman"/>
          <w:sz w:val="28"/>
          <w:szCs w:val="28"/>
          <w:lang/>
        </w:rPr>
        <w:t xml:space="preserve"> </w:t>
      </w:r>
      <w:r>
        <w:rPr>
          <w:rFonts w:ascii="Times New Roman" w:hAnsi="Times New Roman"/>
          <w:sz w:val="28"/>
          <w:szCs w:val="28"/>
          <w:lang w:val="en-US"/>
        </w:rPr>
        <w:t>201</w:t>
      </w:r>
      <w:bookmarkEnd w:id="0"/>
      <w:r>
        <w:rPr>
          <w:rFonts w:ascii="Times New Roman" w:hAnsi="Times New Roman"/>
          <w:sz w:val="28"/>
          <w:szCs w:val="28"/>
          <w:lang/>
        </w:rPr>
        <w:t>4.</w:t>
      </w:r>
      <w:bookmarkEnd w:id="1"/>
      <w:bookmarkEnd w:id="2"/>
    </w:p>
    <w:p w:rsidR="00D70CF5" w:rsidRDefault="00D70CF5" w:rsidP="00D70CF5">
      <w:pPr>
        <w:tabs>
          <w:tab w:val="left" w:pos="3204"/>
        </w:tabs>
        <w:snapToGrid w:val="0"/>
        <w:spacing w:line="360" w:lineRule="auto"/>
        <w:jc w:val="both"/>
        <w:rPr>
          <w:color w:val="FF0000"/>
          <w:lang/>
        </w:rPr>
      </w:pPr>
      <w:r>
        <w:rPr>
          <w:b/>
          <w:bCs/>
          <w:sz w:val="28"/>
          <w:szCs w:val="28"/>
          <w:lang/>
        </w:rPr>
        <w:lastRenderedPageBreak/>
        <w:t>РЕЗИМЕ</w:t>
      </w:r>
      <w:r>
        <w:rPr>
          <w:color w:val="FF0000"/>
          <w:lang/>
        </w:rPr>
        <w:t xml:space="preserve">  </w:t>
      </w:r>
    </w:p>
    <w:p w:rsidR="00D70CF5" w:rsidRDefault="00D70CF5" w:rsidP="00D70CF5">
      <w:pPr>
        <w:tabs>
          <w:tab w:val="left" w:pos="3204"/>
        </w:tabs>
        <w:snapToGrid w:val="0"/>
        <w:spacing w:line="360" w:lineRule="auto"/>
        <w:jc w:val="both"/>
        <w:rPr>
          <w:szCs w:val="24"/>
          <w:lang/>
        </w:rPr>
      </w:pPr>
    </w:p>
    <w:p w:rsidR="00D70CF5" w:rsidRDefault="00D70CF5" w:rsidP="00D70CF5">
      <w:pPr>
        <w:tabs>
          <w:tab w:val="left" w:pos="3204"/>
        </w:tabs>
        <w:snapToGrid w:val="0"/>
        <w:spacing w:line="360" w:lineRule="auto"/>
        <w:jc w:val="both"/>
        <w:rPr>
          <w:szCs w:val="24"/>
        </w:rPr>
      </w:pPr>
      <w:r>
        <w:rPr>
          <w:szCs w:val="24"/>
          <w:lang/>
        </w:rPr>
        <w:t>Овај рад се базира на</w:t>
      </w:r>
      <w:r>
        <w:rPr>
          <w:szCs w:val="24"/>
        </w:rPr>
        <w:t xml:space="preserve"> </w:t>
      </w:r>
      <w:proofErr w:type="spellStart"/>
      <w:r>
        <w:rPr>
          <w:szCs w:val="24"/>
        </w:rPr>
        <w:t>анализ</w:t>
      </w:r>
      <w:proofErr w:type="spellEnd"/>
      <w:r>
        <w:rPr>
          <w:szCs w:val="24"/>
          <w:lang/>
        </w:rPr>
        <w:t>и</w:t>
      </w:r>
      <w:r>
        <w:rPr>
          <w:szCs w:val="24"/>
        </w:rPr>
        <w:t xml:space="preserve"> </w:t>
      </w:r>
      <w:r>
        <w:rPr>
          <w:szCs w:val="24"/>
          <w:lang/>
        </w:rPr>
        <w:t>односа с јавношћу у државним институцијама на примеру МУП - Полицијска управа Пријепоље. У циљу побољшања односа с јавношћу МУП-а у Пријепољу анализирана су саопштења за јавност као и анкете о задовољности грађана радом запослених у МУП-у Републике Србије.</w:t>
      </w:r>
      <w:r>
        <w:rPr>
          <w:szCs w:val="24"/>
        </w:rPr>
        <w:t xml:space="preserve"> </w:t>
      </w:r>
      <w:r>
        <w:rPr>
          <w:szCs w:val="24"/>
          <w:lang/>
        </w:rPr>
        <w:t>Предмет рада су односи с јавношћу у јавним институцијама и изналажење начина за њихово унапређење. Резултати који су добијени у раду на основу теоријских и практичних података усмерени су на препоруке МУП - Полицијској управи у Пријепољу у циљу побољшања односа с јавношћу. Ове препоруке укључују едукацију запослених, учешће на семинарима, побољшање интерне комуникације, повећање броја саопштења у локалним медијима, грађење поверења код грађана.</w:t>
      </w:r>
      <w:r>
        <w:rPr>
          <w:szCs w:val="24"/>
        </w:rPr>
        <w:br/>
      </w:r>
      <w:r>
        <w:rPr>
          <w:szCs w:val="24"/>
        </w:rPr>
        <w:br/>
      </w:r>
      <w:proofErr w:type="spellStart"/>
      <w:r>
        <w:rPr>
          <w:b/>
          <w:bCs/>
          <w:szCs w:val="24"/>
        </w:rPr>
        <w:t>Кључне</w:t>
      </w:r>
      <w:proofErr w:type="spellEnd"/>
      <w:r>
        <w:rPr>
          <w:b/>
          <w:bCs/>
          <w:szCs w:val="24"/>
        </w:rPr>
        <w:t xml:space="preserve"> </w:t>
      </w:r>
      <w:proofErr w:type="spellStart"/>
      <w:r>
        <w:rPr>
          <w:b/>
          <w:bCs/>
          <w:szCs w:val="24"/>
        </w:rPr>
        <w:t>речи</w:t>
      </w:r>
      <w:proofErr w:type="spellEnd"/>
      <w:r>
        <w:rPr>
          <w:b/>
          <w:bCs/>
          <w:szCs w:val="24"/>
        </w:rPr>
        <w:t>:</w:t>
      </w:r>
      <w:r>
        <w:rPr>
          <w:szCs w:val="24"/>
        </w:rPr>
        <w:t xml:space="preserve"> </w:t>
      </w:r>
      <w:r>
        <w:rPr>
          <w:szCs w:val="24"/>
          <w:lang/>
        </w:rPr>
        <w:t>односи с јавношћу</w:t>
      </w:r>
      <w:r>
        <w:rPr>
          <w:szCs w:val="24"/>
        </w:rPr>
        <w:t>,</w:t>
      </w:r>
      <w:r>
        <w:rPr>
          <w:szCs w:val="24"/>
          <w:lang/>
        </w:rPr>
        <w:t xml:space="preserve"> државне институције, унапређење односа с јавношћу, поверење грађана.</w:t>
      </w: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sz w:val="21"/>
        </w:rPr>
      </w:pPr>
    </w:p>
    <w:p w:rsidR="00D70CF5" w:rsidRDefault="00D70CF5" w:rsidP="00D70CF5">
      <w:pPr>
        <w:tabs>
          <w:tab w:val="left" w:pos="3204"/>
        </w:tabs>
        <w:snapToGrid w:val="0"/>
        <w:spacing w:line="360" w:lineRule="auto"/>
        <w:jc w:val="both"/>
        <w:rPr>
          <w:b/>
          <w:bCs/>
          <w:lang w:val="de-DE"/>
        </w:rPr>
      </w:pPr>
      <w:r>
        <w:rPr>
          <w:b/>
          <w:bCs/>
          <w:lang w:val="de-DE"/>
        </w:rPr>
        <w:t>RESUME</w:t>
      </w:r>
    </w:p>
    <w:p w:rsidR="00D70CF5" w:rsidRDefault="00D70CF5" w:rsidP="00D70CF5">
      <w:pPr>
        <w:tabs>
          <w:tab w:val="left" w:pos="3204"/>
        </w:tabs>
        <w:snapToGrid w:val="0"/>
        <w:spacing w:line="360" w:lineRule="auto"/>
        <w:jc w:val="both"/>
        <w:rPr>
          <w:b/>
          <w:bCs/>
          <w:lang/>
        </w:rPr>
      </w:pPr>
    </w:p>
    <w:p w:rsidR="00D70CF5" w:rsidRDefault="00D70CF5" w:rsidP="00D70CF5">
      <w:pPr>
        <w:tabs>
          <w:tab w:val="left" w:pos="3204"/>
        </w:tabs>
        <w:snapToGrid w:val="0"/>
        <w:spacing w:line="360" w:lineRule="auto"/>
        <w:jc w:val="both"/>
        <w:rPr>
          <w:lang/>
        </w:rPr>
      </w:pPr>
      <w:r>
        <w:rPr>
          <w:lang/>
        </w:rPr>
        <w:t>This paper is based on an analysis of public relations in public institutions in the example of the Ministry of Interior - Police Department Prijepolje. In order to improve public relations of Ministry of Interior - Police Department Prijepolje we analyzed the press releases, as well as surveys of public satisfaction about the work of the employees of the Ministry of Interior of the Republic of Serbia. The subject of this paper are public relations in public institutions and finding ways for their improvement. Results obtained in the paper, on the basis of theoretical and practical information, are focused on recommendations for improving public relations in Ministry of Interior - Police Department Prijepolje. These recommendations include staff training, participation in seminars, improving internal communications, increasing the number of announcements in local media, building trust among citizens.</w:t>
      </w:r>
    </w:p>
    <w:p w:rsidR="00D70CF5" w:rsidRDefault="00D70CF5" w:rsidP="00D70CF5">
      <w:pPr>
        <w:tabs>
          <w:tab w:val="left" w:pos="3204"/>
        </w:tabs>
        <w:snapToGrid w:val="0"/>
        <w:spacing w:line="360" w:lineRule="auto"/>
        <w:jc w:val="both"/>
        <w:rPr>
          <w:lang/>
        </w:rPr>
      </w:pPr>
    </w:p>
    <w:p w:rsidR="00D70CF5" w:rsidRDefault="00D70CF5" w:rsidP="00D70CF5">
      <w:pPr>
        <w:tabs>
          <w:tab w:val="left" w:pos="3204"/>
        </w:tabs>
        <w:snapToGrid w:val="0"/>
        <w:spacing w:line="360" w:lineRule="auto"/>
        <w:jc w:val="both"/>
        <w:rPr>
          <w:b/>
          <w:bCs/>
          <w:lang w:val="de-DE"/>
        </w:rPr>
      </w:pPr>
      <w:r>
        <w:rPr>
          <w:b/>
          <w:bCs/>
          <w:lang/>
        </w:rPr>
        <w:t>Key words:</w:t>
      </w:r>
      <w:r>
        <w:rPr>
          <w:lang/>
        </w:rPr>
        <w:t xml:space="preserve"> public relations, public institutions, improving public relations, trust of citizens.</w:t>
      </w:r>
    </w:p>
    <w:p w:rsidR="00567D22" w:rsidRDefault="00567D22"/>
    <w:sectPr w:rsidR="00567D22" w:rsidSect="00567D22">
      <w:footerReference w:type="defaul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0" w:rsidRDefault="00D70C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0" w:rsidRDefault="00D70C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0" w:rsidRDefault="00D70CF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0" w:rsidRDefault="00D70CF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0" w:rsidRDefault="00D70C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0" w:rsidRDefault="00D70C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CF5"/>
    <w:rsid w:val="00567D22"/>
    <w:rsid w:val="00D70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F5"/>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D70CF5"/>
    <w:pPr>
      <w:keepNext/>
      <w:keepLines/>
      <w:snapToGrid w:val="0"/>
      <w:spacing w:line="360" w:lineRule="auto"/>
      <w:outlineLvl w:val="0"/>
    </w:pPr>
    <w:rPr>
      <w:rFonts w:ascii="Arial" w:hAnsi="Arial"/>
      <w:b/>
      <w:bCs/>
      <w:kern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CF5"/>
    <w:rPr>
      <w:rFonts w:ascii="Arial" w:eastAsia="SimSun" w:hAnsi="Arial" w:cs="Times New Roman"/>
      <w:b/>
      <w:bCs/>
      <w:kern w:val="44"/>
      <w:sz w:val="24"/>
      <w:szCs w:val="24"/>
      <w:lang w:eastAsia="zh-CN"/>
    </w:rPr>
  </w:style>
  <w:style w:type="character" w:customStyle="1" w:styleId="FooterChar">
    <w:name w:val="Footer Char"/>
    <w:basedOn w:val="DefaultParagraphFont"/>
    <w:link w:val="Footer"/>
    <w:rsid w:val="00D70CF5"/>
    <w:rPr>
      <w:rFonts w:ascii="Times New Roman" w:eastAsia="SimSun" w:hAnsi="Times New Roman" w:cs="Times New Roman"/>
      <w:kern w:val="2"/>
      <w:sz w:val="24"/>
      <w:szCs w:val="20"/>
      <w:lang w:eastAsia="zh-CN"/>
    </w:rPr>
  </w:style>
  <w:style w:type="character" w:customStyle="1" w:styleId="HeaderChar">
    <w:name w:val="Header Char"/>
    <w:basedOn w:val="DefaultParagraphFont"/>
    <w:link w:val="Header"/>
    <w:rsid w:val="00D70CF5"/>
    <w:rPr>
      <w:rFonts w:ascii="Times New Roman" w:eastAsia="SimSun" w:hAnsi="Times New Roman" w:cs="Times New Roman"/>
      <w:kern w:val="2"/>
      <w:sz w:val="24"/>
      <w:szCs w:val="20"/>
      <w:lang w:eastAsia="zh-CN"/>
    </w:rPr>
  </w:style>
  <w:style w:type="paragraph" w:styleId="Header">
    <w:name w:val="header"/>
    <w:basedOn w:val="Normal"/>
    <w:link w:val="HeaderChar"/>
    <w:rsid w:val="00D70CF5"/>
    <w:pPr>
      <w:tabs>
        <w:tab w:val="center" w:pos="4536"/>
        <w:tab w:val="right" w:pos="9072"/>
      </w:tabs>
    </w:pPr>
  </w:style>
  <w:style w:type="character" w:customStyle="1" w:styleId="HeaderChar1">
    <w:name w:val="Header Char1"/>
    <w:basedOn w:val="DefaultParagraphFont"/>
    <w:link w:val="Header"/>
    <w:uiPriority w:val="99"/>
    <w:semiHidden/>
    <w:rsid w:val="00D70CF5"/>
    <w:rPr>
      <w:rFonts w:ascii="Times New Roman" w:eastAsia="SimSun" w:hAnsi="Times New Roman" w:cs="Times New Roman"/>
      <w:kern w:val="2"/>
      <w:sz w:val="24"/>
      <w:szCs w:val="20"/>
      <w:lang w:eastAsia="zh-CN"/>
    </w:rPr>
  </w:style>
  <w:style w:type="paragraph" w:styleId="Footer">
    <w:name w:val="footer"/>
    <w:basedOn w:val="Normal"/>
    <w:link w:val="FooterChar"/>
    <w:rsid w:val="00D70CF5"/>
    <w:pPr>
      <w:tabs>
        <w:tab w:val="center" w:pos="4536"/>
        <w:tab w:val="right" w:pos="9072"/>
      </w:tabs>
    </w:pPr>
  </w:style>
  <w:style w:type="character" w:customStyle="1" w:styleId="FooterChar1">
    <w:name w:val="Footer Char1"/>
    <w:basedOn w:val="DefaultParagraphFont"/>
    <w:link w:val="Footer"/>
    <w:uiPriority w:val="99"/>
    <w:semiHidden/>
    <w:rsid w:val="00D70CF5"/>
    <w:rPr>
      <w:rFonts w:ascii="Times New Roman" w:eastAsia="SimSun" w:hAnsi="Times New Roman" w:cs="Times New Roman"/>
      <w:kern w:val="2"/>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2014-07-09T10:31:00Z</dcterms:created>
  <dcterms:modified xsi:type="dcterms:W3CDTF">2014-07-09T10:32:00Z</dcterms:modified>
</cp:coreProperties>
</file>