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4FD" w:rsidRDefault="00D534FD" w:rsidP="00FD6884">
      <w:pPr>
        <w:jc w:val="center"/>
        <w:rPr>
          <w:b/>
          <w:sz w:val="28"/>
          <w:szCs w:val="28"/>
        </w:rPr>
      </w:pPr>
    </w:p>
    <w:p w:rsidR="00A927E9" w:rsidRPr="00D534FD" w:rsidRDefault="00A927E9" w:rsidP="00FD6884">
      <w:pPr>
        <w:jc w:val="center"/>
        <w:rPr>
          <w:b/>
          <w:sz w:val="28"/>
          <w:szCs w:val="28"/>
        </w:rPr>
      </w:pPr>
    </w:p>
    <w:p w:rsidR="00D534FD" w:rsidRPr="00D534FD" w:rsidRDefault="00D534FD" w:rsidP="00FD6884">
      <w:pPr>
        <w:jc w:val="center"/>
        <w:rPr>
          <w:b/>
          <w:sz w:val="28"/>
          <w:szCs w:val="28"/>
        </w:rPr>
      </w:pPr>
      <w:r w:rsidRPr="00D534FD">
        <w:rPr>
          <w:b/>
          <w:sz w:val="28"/>
          <w:szCs w:val="28"/>
        </w:rPr>
        <w:t>CORDIE</w:t>
      </w:r>
      <w:bookmarkStart w:id="0" w:name="_GoBack"/>
      <w:bookmarkEnd w:id="0"/>
      <w:r w:rsidRPr="00D534FD">
        <w:rPr>
          <w:b/>
          <w:sz w:val="28"/>
          <w:szCs w:val="28"/>
        </w:rPr>
        <w:t>RITE CERAMICS  IN</w:t>
      </w:r>
      <w:r w:rsidR="00381E93">
        <w:rPr>
          <w:b/>
          <w:sz w:val="28"/>
          <w:szCs w:val="28"/>
        </w:rPr>
        <w:t xml:space="preserve"> </w:t>
      </w:r>
      <w:r w:rsidRPr="00D534FD">
        <w:rPr>
          <w:b/>
          <w:sz w:val="28"/>
          <w:szCs w:val="28"/>
        </w:rPr>
        <w:t>FOUNDRY</w:t>
      </w:r>
    </w:p>
    <w:p w:rsidR="00D534FD" w:rsidRPr="00D534FD" w:rsidRDefault="00D534FD" w:rsidP="00FD6884">
      <w:pPr>
        <w:jc w:val="both"/>
      </w:pPr>
    </w:p>
    <w:p w:rsidR="00D534FD" w:rsidRPr="00D534FD" w:rsidRDefault="00D534FD" w:rsidP="00FD6884">
      <w:pPr>
        <w:jc w:val="center"/>
        <w:rPr>
          <w:sz w:val="22"/>
          <w:szCs w:val="22"/>
        </w:rPr>
      </w:pPr>
      <w:r w:rsidRPr="00D534FD">
        <w:rPr>
          <w:sz w:val="22"/>
          <w:szCs w:val="22"/>
          <w:vertAlign w:val="superscript"/>
        </w:rPr>
        <w:t>1</w:t>
      </w:r>
      <w:r w:rsidRPr="00D534FD">
        <w:rPr>
          <w:sz w:val="22"/>
          <w:szCs w:val="22"/>
        </w:rPr>
        <w:t xml:space="preserve">LjiljanaTrumbulović, </w:t>
      </w:r>
      <w:r w:rsidRPr="00D534FD">
        <w:rPr>
          <w:sz w:val="22"/>
          <w:szCs w:val="22"/>
          <w:vertAlign w:val="superscript"/>
        </w:rPr>
        <w:t>2</w:t>
      </w:r>
      <w:r w:rsidRPr="00D534FD">
        <w:rPr>
          <w:sz w:val="22"/>
          <w:szCs w:val="22"/>
        </w:rPr>
        <w:t xml:space="preserve">Marko Pavlović, </w:t>
      </w:r>
      <w:r w:rsidRPr="00D534FD">
        <w:rPr>
          <w:sz w:val="22"/>
          <w:szCs w:val="22"/>
          <w:vertAlign w:val="superscript"/>
        </w:rPr>
        <w:t>3</w:t>
      </w:r>
      <w:r w:rsidRPr="00D534FD">
        <w:rPr>
          <w:sz w:val="22"/>
          <w:szCs w:val="22"/>
        </w:rPr>
        <w:t xml:space="preserve">Nada Jovičić, </w:t>
      </w:r>
      <w:r w:rsidRPr="00D534FD">
        <w:rPr>
          <w:sz w:val="22"/>
          <w:szCs w:val="22"/>
          <w:vertAlign w:val="superscript"/>
        </w:rPr>
        <w:t>2</w:t>
      </w:r>
      <w:r w:rsidRPr="00D534FD">
        <w:rPr>
          <w:sz w:val="22"/>
          <w:szCs w:val="22"/>
        </w:rPr>
        <w:t>Zagorka</w:t>
      </w:r>
      <w:r w:rsidR="006A7E5A">
        <w:rPr>
          <w:sz w:val="22"/>
          <w:szCs w:val="22"/>
        </w:rPr>
        <w:t xml:space="preserve"> </w:t>
      </w:r>
      <w:r w:rsidRPr="00D534FD">
        <w:rPr>
          <w:sz w:val="22"/>
          <w:szCs w:val="22"/>
        </w:rPr>
        <w:t>Aćimović</w:t>
      </w:r>
      <w:r w:rsidR="006A7E5A">
        <w:rPr>
          <w:sz w:val="22"/>
          <w:szCs w:val="22"/>
        </w:rPr>
        <w:t xml:space="preserve"> </w:t>
      </w:r>
      <w:r w:rsidRPr="00D534FD">
        <w:rPr>
          <w:sz w:val="22"/>
          <w:szCs w:val="22"/>
        </w:rPr>
        <w:t>Pavlović</w:t>
      </w:r>
    </w:p>
    <w:p w:rsidR="00D534FD" w:rsidRPr="00D534FD" w:rsidRDefault="00D534FD" w:rsidP="00FD6884">
      <w:pPr>
        <w:jc w:val="center"/>
        <w:rPr>
          <w:sz w:val="20"/>
          <w:szCs w:val="20"/>
        </w:rPr>
      </w:pPr>
    </w:p>
    <w:p w:rsidR="00D534FD" w:rsidRPr="00D534FD" w:rsidRDefault="00D534FD" w:rsidP="00FD6884">
      <w:pPr>
        <w:jc w:val="center"/>
        <w:rPr>
          <w:sz w:val="20"/>
          <w:szCs w:val="20"/>
        </w:rPr>
      </w:pPr>
      <w:r w:rsidRPr="00D534FD">
        <w:rPr>
          <w:sz w:val="20"/>
          <w:szCs w:val="20"/>
          <w:vertAlign w:val="superscript"/>
        </w:rPr>
        <w:t>1</w:t>
      </w:r>
      <w:r w:rsidRPr="00D534FD">
        <w:rPr>
          <w:sz w:val="20"/>
          <w:szCs w:val="20"/>
        </w:rPr>
        <w:t xml:space="preserve">High technical school Uzice,  </w:t>
      </w:r>
      <w:r w:rsidRPr="00D534FD">
        <w:rPr>
          <w:sz w:val="20"/>
          <w:szCs w:val="20"/>
          <w:vertAlign w:val="superscript"/>
        </w:rPr>
        <w:t>2</w:t>
      </w:r>
      <w:r w:rsidRPr="00D534FD">
        <w:rPr>
          <w:sz w:val="20"/>
          <w:szCs w:val="20"/>
        </w:rPr>
        <w:t xml:space="preserve">Faculty of Technology and Metallurgy, </w:t>
      </w:r>
      <w:smartTag w:uri="urn:schemas-microsoft-com:office:smarttags" w:element="place">
        <w:smartTag w:uri="urn:schemas-microsoft-com:office:smarttags" w:element="City">
          <w:r w:rsidRPr="00D534FD">
            <w:rPr>
              <w:sz w:val="20"/>
              <w:szCs w:val="20"/>
            </w:rPr>
            <w:t>Belgrade</w:t>
          </w:r>
        </w:smartTag>
      </w:smartTag>
      <w:r w:rsidRPr="00D534FD">
        <w:rPr>
          <w:sz w:val="20"/>
          <w:szCs w:val="20"/>
        </w:rPr>
        <w:t xml:space="preserve">, </w:t>
      </w:r>
      <w:r w:rsidRPr="00D534FD">
        <w:rPr>
          <w:sz w:val="20"/>
          <w:szCs w:val="20"/>
          <w:vertAlign w:val="superscript"/>
        </w:rPr>
        <w:t>3</w:t>
      </w:r>
      <w:r w:rsidRPr="00D534FD">
        <w:rPr>
          <w:sz w:val="20"/>
          <w:szCs w:val="20"/>
        </w:rPr>
        <w:t xml:space="preserve">Technical  school  Uzice, </w:t>
      </w:r>
    </w:p>
    <w:p w:rsidR="00D534FD" w:rsidRPr="00D534FD" w:rsidRDefault="00D534FD" w:rsidP="00FD6884">
      <w:pPr>
        <w:jc w:val="center"/>
        <w:rPr>
          <w:sz w:val="20"/>
          <w:szCs w:val="20"/>
        </w:rPr>
      </w:pPr>
      <w:r w:rsidRPr="00D534FD">
        <w:rPr>
          <w:sz w:val="20"/>
          <w:szCs w:val="20"/>
        </w:rPr>
        <w:t>(ljiljanatrumbulovic@gmail.com)</w:t>
      </w:r>
    </w:p>
    <w:p w:rsidR="00D534FD" w:rsidRPr="00D534FD" w:rsidRDefault="00D534FD" w:rsidP="00FD6884">
      <w:pPr>
        <w:jc w:val="center"/>
        <w:rPr>
          <w:sz w:val="20"/>
          <w:szCs w:val="20"/>
          <w:vertAlign w:val="superscript"/>
        </w:rPr>
      </w:pPr>
    </w:p>
    <w:p w:rsidR="00D534FD" w:rsidRPr="00D534FD" w:rsidRDefault="00D534FD" w:rsidP="00FD6884">
      <w:pPr>
        <w:jc w:val="center"/>
        <w:rPr>
          <w:sz w:val="22"/>
          <w:szCs w:val="22"/>
          <w:lang w:val="sr-Latn-CS"/>
        </w:rPr>
      </w:pPr>
    </w:p>
    <w:p w:rsidR="00D534FD" w:rsidRPr="00D534FD" w:rsidRDefault="00D534FD" w:rsidP="00FD6884">
      <w:pPr>
        <w:jc w:val="both"/>
        <w:rPr>
          <w:sz w:val="18"/>
          <w:szCs w:val="18"/>
        </w:rPr>
      </w:pPr>
      <w:r w:rsidRPr="00D534FD">
        <w:rPr>
          <w:b/>
          <w:i/>
          <w:sz w:val="18"/>
          <w:szCs w:val="18"/>
        </w:rPr>
        <w:t xml:space="preserve">Abstract: </w:t>
      </w:r>
      <w:r w:rsidRPr="00D534FD">
        <w:rPr>
          <w:sz w:val="18"/>
          <w:szCs w:val="18"/>
        </w:rPr>
        <w:t>Standard raw materials, kaolin and talc, were used in synthesis of cordierite ceramics.Cordierite mass corresponded to 2 MgO- 2 Al</w:t>
      </w:r>
      <w:r w:rsidRPr="00D534FD">
        <w:rPr>
          <w:sz w:val="18"/>
          <w:szCs w:val="18"/>
          <w:vertAlign w:val="subscript"/>
        </w:rPr>
        <w:t>2</w:t>
      </w:r>
      <w:r w:rsidRPr="00D534FD">
        <w:rPr>
          <w:sz w:val="18"/>
          <w:szCs w:val="18"/>
        </w:rPr>
        <w:t>O</w:t>
      </w:r>
      <w:r w:rsidRPr="00D534FD">
        <w:rPr>
          <w:sz w:val="18"/>
          <w:szCs w:val="18"/>
          <w:vertAlign w:val="subscript"/>
        </w:rPr>
        <w:t>3</w:t>
      </w:r>
      <w:r w:rsidRPr="00D534FD">
        <w:rPr>
          <w:sz w:val="18"/>
          <w:szCs w:val="18"/>
        </w:rPr>
        <w:t>- 5SiO</w:t>
      </w:r>
      <w:r w:rsidRPr="00D534FD">
        <w:rPr>
          <w:sz w:val="18"/>
          <w:szCs w:val="18"/>
          <w:vertAlign w:val="subscript"/>
        </w:rPr>
        <w:t>2</w:t>
      </w:r>
      <w:r w:rsidRPr="00D534FD">
        <w:rPr>
          <w:sz w:val="18"/>
          <w:szCs w:val="18"/>
        </w:rPr>
        <w:t>compositions.Sintered cordierite  was used as a refractory filler in the ceramic coating for evaporative polystirene patterns in the new casting technology,the Lost Foam process.Cordierite characterization was carried out by means of x-ray structure analysis.The characteristic temperatures for carrying out solid state reactions in the three component system of 2MgO-2Al</w:t>
      </w:r>
      <w:r w:rsidRPr="00D534FD">
        <w:rPr>
          <w:sz w:val="18"/>
          <w:szCs w:val="18"/>
          <w:vertAlign w:val="subscript"/>
        </w:rPr>
        <w:t>2</w:t>
      </w:r>
      <w:r w:rsidRPr="00D534FD">
        <w:rPr>
          <w:sz w:val="18"/>
          <w:szCs w:val="18"/>
        </w:rPr>
        <w:t>O</w:t>
      </w:r>
      <w:r w:rsidRPr="00D534FD">
        <w:rPr>
          <w:sz w:val="18"/>
          <w:szCs w:val="18"/>
          <w:vertAlign w:val="subscript"/>
        </w:rPr>
        <w:t>3</w:t>
      </w:r>
      <w:r w:rsidRPr="00D534FD">
        <w:rPr>
          <w:sz w:val="18"/>
          <w:szCs w:val="18"/>
        </w:rPr>
        <w:t>-5SiO</w:t>
      </w:r>
      <w:r w:rsidRPr="00D534FD">
        <w:rPr>
          <w:sz w:val="18"/>
          <w:szCs w:val="18"/>
          <w:vertAlign w:val="subscript"/>
        </w:rPr>
        <w:t>2</w:t>
      </w:r>
      <w:r w:rsidRPr="00D534FD">
        <w:rPr>
          <w:sz w:val="18"/>
          <w:szCs w:val="18"/>
        </w:rPr>
        <w:t xml:space="preserve"> were determined   differentially by thermal analysis in the range from ambient temperature to 1200</w:t>
      </w:r>
      <w:r w:rsidRPr="00D534FD">
        <w:rPr>
          <w:sz w:val="18"/>
          <w:szCs w:val="18"/>
          <w:vertAlign w:val="superscript"/>
        </w:rPr>
        <w:t>0</w:t>
      </w:r>
      <w:r w:rsidRPr="00D534FD">
        <w:rPr>
          <w:sz w:val="18"/>
          <w:szCs w:val="18"/>
        </w:rPr>
        <w:t>C.The obtained ceramic coatings were applied by the “full mould” casting method.For the purpose of realistic evaluation of possible cordierite application in the production of evaporative pattern ceramic coating, concurrent analyses with talc-based coating were carried out.Cordierite has wide application in electrothermic, electronics and engineering industries, however, it has not been used in casting yet.</w:t>
      </w:r>
    </w:p>
    <w:p w:rsidR="00D534FD" w:rsidRPr="00D534FD" w:rsidRDefault="00D534FD" w:rsidP="00FD6884">
      <w:pPr>
        <w:jc w:val="both"/>
        <w:rPr>
          <w:b/>
          <w:i/>
          <w:sz w:val="18"/>
          <w:szCs w:val="18"/>
        </w:rPr>
      </w:pPr>
    </w:p>
    <w:p w:rsidR="00D534FD" w:rsidRPr="00D534FD" w:rsidRDefault="00D534FD" w:rsidP="00FD6884">
      <w:pPr>
        <w:jc w:val="both"/>
        <w:rPr>
          <w:i/>
          <w:sz w:val="18"/>
          <w:szCs w:val="18"/>
        </w:rPr>
      </w:pPr>
      <w:r w:rsidRPr="00D534FD">
        <w:rPr>
          <w:b/>
          <w:i/>
          <w:sz w:val="18"/>
          <w:szCs w:val="18"/>
        </w:rPr>
        <w:t>Key  words:</w:t>
      </w:r>
      <w:r w:rsidRPr="00D534FD">
        <w:rPr>
          <w:i/>
          <w:sz w:val="18"/>
          <w:szCs w:val="18"/>
        </w:rPr>
        <w:t xml:space="preserve"> Lost Foam process, ceramic coating, cordierite, casting qualitz</w:t>
      </w:r>
    </w:p>
    <w:p w:rsidR="00D534FD" w:rsidRPr="00D534FD" w:rsidRDefault="00D534FD" w:rsidP="00FD6884">
      <w:pPr>
        <w:jc w:val="both"/>
        <w:rPr>
          <w:b/>
          <w:lang w:val="pl-PL"/>
        </w:rPr>
      </w:pPr>
    </w:p>
    <w:p w:rsidR="00D534FD" w:rsidRDefault="00D534FD" w:rsidP="00FD6884">
      <w:pPr>
        <w:pStyle w:val="Heading5"/>
        <w:numPr>
          <w:ilvl w:val="0"/>
          <w:numId w:val="4"/>
        </w:numPr>
        <w:rPr>
          <w:rFonts w:ascii="Times New Roman" w:hAnsi="Times New Roman"/>
          <w:i w:val="0"/>
          <w:sz w:val="22"/>
          <w:szCs w:val="22"/>
        </w:rPr>
      </w:pPr>
      <w:r w:rsidRPr="00D534FD">
        <w:rPr>
          <w:rFonts w:ascii="Times New Roman" w:hAnsi="Times New Roman"/>
          <w:i w:val="0"/>
          <w:sz w:val="22"/>
          <w:szCs w:val="22"/>
        </w:rPr>
        <w:t>INTRODUCTION</w:t>
      </w:r>
    </w:p>
    <w:p w:rsidR="00FD6884" w:rsidRPr="00FD6884" w:rsidRDefault="00FD6884" w:rsidP="00FD6884">
      <w:pPr>
        <w:rPr>
          <w:lang w:val="es-ES" w:eastAsia="es-ES"/>
        </w:rPr>
      </w:pPr>
    </w:p>
    <w:p w:rsidR="00D534FD" w:rsidRPr="00D534FD" w:rsidRDefault="00D534FD" w:rsidP="00FD6884">
      <w:pPr>
        <w:jc w:val="both"/>
        <w:rPr>
          <w:sz w:val="20"/>
          <w:szCs w:val="20"/>
        </w:rPr>
      </w:pPr>
      <w:r w:rsidRPr="00D534FD">
        <w:rPr>
          <w:color w:val="000000"/>
          <w:sz w:val="20"/>
          <w:szCs w:val="20"/>
          <w:lang w:val="hr-HR"/>
        </w:rPr>
        <w:t xml:space="preserve">The Lost Foam process is relatively new technology which offers numerous advantages in relation to the sand casting – better use of metal, decrease of elimination of nucleus in formation of internal surfaces, cleaning and machine processing of castings. In contrast to casting in sand moulds, models and pouring systems, which are commonly made of polystyrene in this process, remain in the mould ( after it has been made) till the metal has been poured. </w:t>
      </w:r>
      <w:r w:rsidRPr="00D534FD">
        <w:rPr>
          <w:sz w:val="20"/>
          <w:szCs w:val="20"/>
        </w:rPr>
        <w:t>For successful production of castings by this method, it is necessary to establish balance in the system:evaporative pattern- ceramic lining-liquid metal- sand.</w:t>
      </w:r>
    </w:p>
    <w:p w:rsidR="00D534FD" w:rsidRPr="00D534FD" w:rsidRDefault="00D534FD" w:rsidP="00FD6884">
      <w:pPr>
        <w:ind w:firstLine="300"/>
        <w:jc w:val="both"/>
        <w:rPr>
          <w:color w:val="000000"/>
          <w:sz w:val="22"/>
          <w:szCs w:val="22"/>
        </w:rPr>
      </w:pPr>
    </w:p>
    <w:p w:rsidR="00D534FD" w:rsidRPr="00D534FD" w:rsidRDefault="00D534FD" w:rsidP="00FD6884">
      <w:pPr>
        <w:pStyle w:val="BodyText2"/>
        <w:spacing w:line="240" w:lineRule="auto"/>
        <w:rPr>
          <w:sz w:val="20"/>
          <w:szCs w:val="20"/>
          <w:lang w:val="hr-HR"/>
        </w:rPr>
      </w:pPr>
      <w:r w:rsidRPr="00D534FD">
        <w:rPr>
          <w:sz w:val="20"/>
          <w:szCs w:val="20"/>
        </w:rPr>
        <w:t>Cheramic linings for application in Lost Foam procedure must satisfy a number of specific demands as follows:</w:t>
      </w:r>
    </w:p>
    <w:p w:rsidR="00D534FD" w:rsidRPr="00D534FD" w:rsidRDefault="00D534FD" w:rsidP="00FD6884">
      <w:pPr>
        <w:pStyle w:val="BodyText2"/>
        <w:numPr>
          <w:ilvl w:val="0"/>
          <w:numId w:val="3"/>
        </w:numPr>
        <w:spacing w:after="0" w:line="240" w:lineRule="auto"/>
        <w:jc w:val="both"/>
        <w:rPr>
          <w:sz w:val="20"/>
          <w:szCs w:val="20"/>
          <w:lang w:val="hr-HR"/>
        </w:rPr>
      </w:pPr>
      <w:r w:rsidRPr="00D534FD">
        <w:rPr>
          <w:sz w:val="20"/>
          <w:szCs w:val="20"/>
          <w:lang w:val="hr-HR"/>
        </w:rPr>
        <w:t>corresponding refractorness of linings;</w:t>
      </w:r>
    </w:p>
    <w:p w:rsidR="00D534FD" w:rsidRPr="00D534FD" w:rsidRDefault="00D534FD" w:rsidP="00FD6884">
      <w:pPr>
        <w:pStyle w:val="BodyText2"/>
        <w:numPr>
          <w:ilvl w:val="0"/>
          <w:numId w:val="3"/>
        </w:numPr>
        <w:spacing w:after="0" w:line="240" w:lineRule="auto"/>
        <w:jc w:val="both"/>
        <w:rPr>
          <w:sz w:val="20"/>
          <w:szCs w:val="20"/>
          <w:lang w:val="hr-HR"/>
        </w:rPr>
      </w:pPr>
      <w:r w:rsidRPr="00D534FD">
        <w:rPr>
          <w:sz w:val="20"/>
          <w:szCs w:val="20"/>
          <w:lang w:val="hr-HR"/>
        </w:rPr>
        <w:t>permeability should be compatible to that of sand which is used for mould making:higly permeable lining is used for rougher sand while medium and low permeable linings are used for finer sand;</w:t>
      </w:r>
    </w:p>
    <w:p w:rsidR="00D534FD" w:rsidRPr="00D534FD" w:rsidRDefault="00D534FD" w:rsidP="00FD6884">
      <w:pPr>
        <w:pStyle w:val="BodyText2"/>
        <w:numPr>
          <w:ilvl w:val="0"/>
          <w:numId w:val="3"/>
        </w:numPr>
        <w:spacing w:after="0" w:line="240" w:lineRule="auto"/>
        <w:jc w:val="both"/>
        <w:rPr>
          <w:sz w:val="20"/>
          <w:szCs w:val="20"/>
          <w:lang w:val="hr-HR"/>
        </w:rPr>
      </w:pPr>
      <w:r w:rsidRPr="00D534FD">
        <w:rPr>
          <w:sz w:val="20"/>
          <w:szCs w:val="20"/>
          <w:lang w:val="hr-HR"/>
        </w:rPr>
        <w:t>quick drying;</w:t>
      </w:r>
    </w:p>
    <w:p w:rsidR="00D534FD" w:rsidRPr="00D534FD" w:rsidRDefault="00D534FD" w:rsidP="00FD6884">
      <w:pPr>
        <w:pStyle w:val="BodyText2"/>
        <w:numPr>
          <w:ilvl w:val="0"/>
          <w:numId w:val="3"/>
        </w:numPr>
        <w:spacing w:after="0" w:line="240" w:lineRule="auto"/>
        <w:jc w:val="both"/>
        <w:rPr>
          <w:sz w:val="20"/>
          <w:szCs w:val="20"/>
          <w:lang w:val="hr-HR"/>
        </w:rPr>
      </w:pPr>
      <w:r w:rsidRPr="00D534FD">
        <w:rPr>
          <w:sz w:val="20"/>
          <w:szCs w:val="20"/>
          <w:lang w:val="hr-HR"/>
        </w:rPr>
        <w:t>dried layer should be visible on the model;</w:t>
      </w:r>
    </w:p>
    <w:p w:rsidR="00D534FD" w:rsidRPr="00D534FD" w:rsidRDefault="00D534FD" w:rsidP="00FD6884">
      <w:pPr>
        <w:pStyle w:val="BodyText2"/>
        <w:numPr>
          <w:ilvl w:val="0"/>
          <w:numId w:val="3"/>
        </w:numPr>
        <w:spacing w:after="0" w:line="240" w:lineRule="auto"/>
        <w:jc w:val="both"/>
        <w:rPr>
          <w:sz w:val="20"/>
          <w:szCs w:val="20"/>
          <w:lang w:val="hr-HR"/>
        </w:rPr>
      </w:pPr>
      <w:r w:rsidRPr="00D534FD">
        <w:rPr>
          <w:sz w:val="20"/>
          <w:szCs w:val="20"/>
          <w:lang w:val="hr-HR"/>
        </w:rPr>
        <w:t>lining should easily stick to the model;</w:t>
      </w:r>
    </w:p>
    <w:p w:rsidR="00D534FD" w:rsidRPr="00D534FD" w:rsidRDefault="00D534FD" w:rsidP="00FD6884">
      <w:pPr>
        <w:pStyle w:val="BodyText2"/>
        <w:numPr>
          <w:ilvl w:val="0"/>
          <w:numId w:val="3"/>
        </w:numPr>
        <w:spacing w:after="0" w:line="240" w:lineRule="auto"/>
        <w:jc w:val="both"/>
        <w:rPr>
          <w:sz w:val="20"/>
          <w:szCs w:val="20"/>
          <w:lang w:val="hr-HR"/>
        </w:rPr>
      </w:pPr>
      <w:r w:rsidRPr="00D534FD">
        <w:rPr>
          <w:sz w:val="20"/>
          <w:szCs w:val="20"/>
          <w:lang w:val="hr-HR"/>
        </w:rPr>
        <w:t>there should be a possibility of controlling and adjusting lining layer thickness;</w:t>
      </w:r>
    </w:p>
    <w:p w:rsidR="00D534FD" w:rsidRPr="00D534FD" w:rsidRDefault="00D534FD" w:rsidP="00FD6884">
      <w:pPr>
        <w:pStyle w:val="BodyText2"/>
        <w:numPr>
          <w:ilvl w:val="0"/>
          <w:numId w:val="3"/>
        </w:numPr>
        <w:spacing w:after="0" w:line="240" w:lineRule="auto"/>
        <w:jc w:val="both"/>
        <w:rPr>
          <w:sz w:val="20"/>
          <w:szCs w:val="20"/>
          <w:lang w:val="hr-HR"/>
        </w:rPr>
      </w:pPr>
      <w:r w:rsidRPr="00D534FD">
        <w:rPr>
          <w:sz w:val="20"/>
          <w:szCs w:val="20"/>
          <w:lang w:val="hr-HR"/>
        </w:rPr>
        <w:t>appropriate strength, resistance to abrasion resistance to cracks during storage, resistance to bending and deformation during mould making;</w:t>
      </w:r>
    </w:p>
    <w:p w:rsidR="00D534FD" w:rsidRPr="00D534FD" w:rsidRDefault="00D534FD" w:rsidP="00FD6884">
      <w:pPr>
        <w:pStyle w:val="BodyText2"/>
        <w:numPr>
          <w:ilvl w:val="0"/>
          <w:numId w:val="3"/>
        </w:numPr>
        <w:spacing w:after="0" w:line="240" w:lineRule="auto"/>
        <w:jc w:val="both"/>
        <w:rPr>
          <w:sz w:val="20"/>
          <w:szCs w:val="20"/>
          <w:lang w:val="hr-HR"/>
        </w:rPr>
      </w:pPr>
      <w:r w:rsidRPr="00D534FD">
        <w:rPr>
          <w:sz w:val="20"/>
          <w:szCs w:val="20"/>
          <w:lang w:val="hr-HR"/>
        </w:rPr>
        <w:t>if rougher sand is used for mould making and a high casting temperature, then the refractory lining layer should be thicker.</w:t>
      </w:r>
    </w:p>
    <w:p w:rsidR="00D534FD" w:rsidRPr="00D534FD" w:rsidRDefault="00D534FD" w:rsidP="00FD6884">
      <w:pPr>
        <w:pStyle w:val="BodyText2"/>
        <w:spacing w:line="240" w:lineRule="auto"/>
        <w:ind w:left="420"/>
        <w:jc w:val="center"/>
        <w:rPr>
          <w:i/>
          <w:iCs/>
          <w:sz w:val="20"/>
          <w:szCs w:val="20"/>
          <w:lang w:val="hr-HR"/>
        </w:rPr>
      </w:pPr>
    </w:p>
    <w:p w:rsidR="00D534FD" w:rsidRPr="00D534FD" w:rsidRDefault="00D534FD" w:rsidP="00FD6884">
      <w:pPr>
        <w:pStyle w:val="BodyText2"/>
        <w:spacing w:line="240" w:lineRule="auto"/>
        <w:jc w:val="both"/>
        <w:rPr>
          <w:sz w:val="20"/>
          <w:szCs w:val="20"/>
        </w:rPr>
      </w:pPr>
      <w:r w:rsidRPr="00D534FD">
        <w:rPr>
          <w:sz w:val="20"/>
          <w:szCs w:val="20"/>
        </w:rPr>
        <w:t>Accoding to the data, the world known companies engaged in  ceramic linings  production and application invest  considerable resources in systematic research on various ceramic materials for refractory fillers,selection of suitable materials for additives which keep suspension stable, and  materials for binding system.</w:t>
      </w:r>
    </w:p>
    <w:p w:rsidR="00D534FD" w:rsidRPr="00D534FD" w:rsidRDefault="00D534FD" w:rsidP="00FD6884">
      <w:pPr>
        <w:jc w:val="both"/>
        <w:rPr>
          <w:sz w:val="20"/>
          <w:szCs w:val="20"/>
        </w:rPr>
      </w:pPr>
    </w:p>
    <w:p w:rsidR="00D534FD" w:rsidRPr="00D534FD" w:rsidRDefault="00D534FD" w:rsidP="00FD6884">
      <w:pPr>
        <w:jc w:val="both"/>
        <w:rPr>
          <w:sz w:val="20"/>
          <w:szCs w:val="20"/>
        </w:rPr>
      </w:pPr>
      <w:r w:rsidRPr="00D534FD">
        <w:rPr>
          <w:sz w:val="20"/>
          <w:szCs w:val="20"/>
        </w:rPr>
        <w:t>One of the main tasks of ceramic linings is to enable removal of  desinteration products   and evaporation of polystyrene patterns ,which is carried out in the pattern contact with liquid metal during pouring.They also have to prevent metal penetration into the mould.</w:t>
      </w:r>
    </w:p>
    <w:p w:rsidR="00D534FD" w:rsidRPr="00D534FD" w:rsidRDefault="00D534FD" w:rsidP="00FD6884">
      <w:pPr>
        <w:jc w:val="both"/>
        <w:rPr>
          <w:sz w:val="20"/>
          <w:szCs w:val="20"/>
        </w:rPr>
      </w:pPr>
    </w:p>
    <w:p w:rsidR="00D534FD" w:rsidRPr="00D534FD" w:rsidRDefault="00D534FD" w:rsidP="00FD6884">
      <w:pPr>
        <w:jc w:val="both"/>
        <w:rPr>
          <w:sz w:val="20"/>
          <w:szCs w:val="20"/>
        </w:rPr>
      </w:pPr>
      <w:r w:rsidRPr="00D534FD">
        <w:rPr>
          <w:sz w:val="20"/>
          <w:szCs w:val="20"/>
        </w:rPr>
        <w:t xml:space="preserve">Selection of ceramic lining is carried out in accordance with the types of metal and alloy to be casted,i.e.casting temperature.Higher casting temperatures enable faster  process of pattern desintegration and evaporation,as well as more gas accumulation which has to be removed from the mould.This calls for thicker lining layers and higher lining </w:t>
      </w:r>
      <w:r w:rsidRPr="00D534FD">
        <w:rPr>
          <w:sz w:val="20"/>
          <w:szCs w:val="20"/>
        </w:rPr>
        <w:lastRenderedPageBreak/>
        <w:t>perviousness.Acccording to the  researches,lining thickness is in the range of 0.1-0.7mm.When thicker linings are used,their imperviousness  decrease ,which can cause a series of  faults in  obtained castings.</w:t>
      </w:r>
    </w:p>
    <w:p w:rsidR="00D534FD" w:rsidRPr="00D534FD" w:rsidRDefault="00D534FD" w:rsidP="00FD6884">
      <w:pPr>
        <w:ind w:firstLine="300"/>
        <w:jc w:val="both"/>
        <w:rPr>
          <w:b/>
          <w:bCs/>
          <w:color w:val="000000"/>
          <w:sz w:val="20"/>
          <w:szCs w:val="20"/>
        </w:rPr>
      </w:pPr>
    </w:p>
    <w:p w:rsidR="00D534FD" w:rsidRPr="00D534FD" w:rsidRDefault="00D534FD" w:rsidP="00FD6884">
      <w:pPr>
        <w:jc w:val="both"/>
        <w:rPr>
          <w:color w:val="000000"/>
          <w:sz w:val="20"/>
          <w:szCs w:val="20"/>
          <w:lang w:val="hr-HR"/>
        </w:rPr>
      </w:pPr>
      <w:r w:rsidRPr="00D534FD">
        <w:rPr>
          <w:color w:val="000000"/>
          <w:sz w:val="20"/>
          <w:szCs w:val="20"/>
          <w:lang w:val="hr-HR"/>
        </w:rPr>
        <w:t>Ceramic coatings presented in this project are the subject of long – lasting research and are given on the basis of original recipes. It should be pointed out that cordierite has not been applied in the process of casting so far.</w:t>
      </w:r>
    </w:p>
    <w:p w:rsidR="00D534FD" w:rsidRPr="00D534FD" w:rsidRDefault="00D534FD" w:rsidP="00FD6884">
      <w:pPr>
        <w:pStyle w:val="BodyTextIndent"/>
        <w:tabs>
          <w:tab w:val="left" w:pos="720"/>
        </w:tabs>
        <w:ind w:left="0"/>
        <w:jc w:val="both"/>
        <w:rPr>
          <w:b/>
          <w:bCs/>
          <w:sz w:val="20"/>
          <w:szCs w:val="20"/>
          <w:lang w:val="sr-Cyrl-CS"/>
        </w:rPr>
      </w:pPr>
      <w:r w:rsidRPr="00D534FD">
        <w:rPr>
          <w:b/>
          <w:bCs/>
          <w:sz w:val="20"/>
          <w:szCs w:val="20"/>
        </w:rPr>
        <w:tab/>
      </w:r>
    </w:p>
    <w:p w:rsidR="00D534FD" w:rsidRPr="00FD6884" w:rsidRDefault="00D534FD" w:rsidP="00FD6884">
      <w:pPr>
        <w:pStyle w:val="BodyTextIndent"/>
        <w:tabs>
          <w:tab w:val="left" w:pos="720"/>
        </w:tabs>
        <w:ind w:left="0"/>
        <w:jc w:val="both"/>
        <w:rPr>
          <w:bCs/>
          <w:sz w:val="20"/>
          <w:szCs w:val="20"/>
        </w:rPr>
      </w:pPr>
      <w:r w:rsidRPr="00FD6884">
        <w:rPr>
          <w:sz w:val="20"/>
          <w:szCs w:val="20"/>
        </w:rPr>
        <w:t>Cordierite</w:t>
      </w:r>
      <w:r w:rsidRPr="00FD6884">
        <w:rPr>
          <w:bCs/>
          <w:sz w:val="20"/>
          <w:szCs w:val="20"/>
        </w:rPr>
        <w:t xml:space="preserve"> is classified as a special ceramic insulating material. It is a finely porous material, composed of oxides MgO, Al</w:t>
      </w:r>
      <w:r w:rsidRPr="00FD6884">
        <w:rPr>
          <w:bCs/>
          <w:sz w:val="20"/>
          <w:szCs w:val="20"/>
          <w:vertAlign w:val="subscript"/>
        </w:rPr>
        <w:t>2</w:t>
      </w:r>
      <w:r w:rsidRPr="00FD6884">
        <w:rPr>
          <w:bCs/>
          <w:sz w:val="20"/>
          <w:szCs w:val="20"/>
        </w:rPr>
        <w:t>O</w:t>
      </w:r>
      <w:r w:rsidRPr="00FD6884">
        <w:rPr>
          <w:bCs/>
          <w:sz w:val="20"/>
          <w:szCs w:val="20"/>
          <w:vertAlign w:val="subscript"/>
        </w:rPr>
        <w:t>3</w:t>
      </w:r>
      <w:r w:rsidRPr="00FD6884">
        <w:rPr>
          <w:bCs/>
          <w:sz w:val="20"/>
          <w:szCs w:val="20"/>
        </w:rPr>
        <w:t xml:space="preserve"> and SiO</w:t>
      </w:r>
      <w:r w:rsidRPr="00FD6884">
        <w:rPr>
          <w:bCs/>
          <w:sz w:val="20"/>
          <w:szCs w:val="20"/>
          <w:vertAlign w:val="subscript"/>
        </w:rPr>
        <w:t>2</w:t>
      </w:r>
      <w:r w:rsidRPr="00FD6884">
        <w:rPr>
          <w:bCs/>
          <w:sz w:val="20"/>
          <w:szCs w:val="20"/>
        </w:rPr>
        <w:t>. Cordierite as a mineral 2MgO</w:t>
      </w:r>
      <w:r w:rsidRPr="00FD6884">
        <w:rPr>
          <w:bCs/>
          <w:sz w:val="20"/>
          <w:szCs w:val="20"/>
        </w:rPr>
        <w:sym w:font="Symbol" w:char="F0D7"/>
      </w:r>
      <w:r w:rsidRPr="00FD6884">
        <w:rPr>
          <w:bCs/>
          <w:sz w:val="20"/>
          <w:szCs w:val="20"/>
        </w:rPr>
        <w:t>2Al</w:t>
      </w:r>
      <w:r w:rsidRPr="00FD6884">
        <w:rPr>
          <w:bCs/>
          <w:sz w:val="20"/>
          <w:szCs w:val="20"/>
          <w:vertAlign w:val="subscript"/>
        </w:rPr>
        <w:t>2</w:t>
      </w:r>
      <w:r w:rsidRPr="00FD6884">
        <w:rPr>
          <w:bCs/>
          <w:sz w:val="20"/>
          <w:szCs w:val="20"/>
        </w:rPr>
        <w:t>O</w:t>
      </w:r>
      <w:r w:rsidRPr="00FD6884">
        <w:rPr>
          <w:bCs/>
          <w:sz w:val="20"/>
          <w:szCs w:val="20"/>
          <w:vertAlign w:val="subscript"/>
        </w:rPr>
        <w:t>3</w:t>
      </w:r>
      <w:r w:rsidRPr="00FD6884">
        <w:rPr>
          <w:bCs/>
          <w:sz w:val="20"/>
          <w:szCs w:val="20"/>
        </w:rPr>
        <w:sym w:font="Symbol" w:char="F0D7"/>
      </w:r>
      <w:r w:rsidRPr="00FD6884">
        <w:rPr>
          <w:bCs/>
          <w:sz w:val="20"/>
          <w:szCs w:val="20"/>
        </w:rPr>
        <w:t>5SiO</w:t>
      </w:r>
      <w:r w:rsidRPr="00FD6884">
        <w:rPr>
          <w:bCs/>
          <w:sz w:val="20"/>
          <w:szCs w:val="20"/>
          <w:vertAlign w:val="subscript"/>
        </w:rPr>
        <w:t>2</w:t>
      </w:r>
      <w:r w:rsidRPr="00FD6884">
        <w:rPr>
          <w:bCs/>
          <w:sz w:val="20"/>
          <w:szCs w:val="20"/>
        </w:rPr>
        <w:t xml:space="preserve"> is very rarely found in nature so it is generally obtained synthetically for industrial needs. Synthesis of cordierite can be obtained directly from oxides MgO, Al</w:t>
      </w:r>
      <w:r w:rsidRPr="00FD6884">
        <w:rPr>
          <w:bCs/>
          <w:sz w:val="20"/>
          <w:szCs w:val="20"/>
          <w:vertAlign w:val="subscript"/>
        </w:rPr>
        <w:t>2</w:t>
      </w:r>
      <w:r w:rsidRPr="00FD6884">
        <w:rPr>
          <w:bCs/>
          <w:sz w:val="20"/>
          <w:szCs w:val="20"/>
        </w:rPr>
        <w:t>O</w:t>
      </w:r>
      <w:r w:rsidRPr="00FD6884">
        <w:rPr>
          <w:bCs/>
          <w:sz w:val="20"/>
          <w:szCs w:val="20"/>
          <w:vertAlign w:val="subscript"/>
        </w:rPr>
        <w:t>3</w:t>
      </w:r>
      <w:r w:rsidRPr="00FD6884">
        <w:rPr>
          <w:bCs/>
          <w:sz w:val="20"/>
          <w:szCs w:val="20"/>
        </w:rPr>
        <w:t>, SiO</w:t>
      </w:r>
      <w:r w:rsidRPr="00FD6884">
        <w:rPr>
          <w:bCs/>
          <w:sz w:val="20"/>
          <w:szCs w:val="20"/>
          <w:vertAlign w:val="subscript"/>
        </w:rPr>
        <w:t>2</w:t>
      </w:r>
      <w:r w:rsidRPr="00FD6884">
        <w:rPr>
          <w:bCs/>
          <w:sz w:val="20"/>
          <w:szCs w:val="20"/>
        </w:rPr>
        <w:t xml:space="preserve"> or from natural raw materials which carriers of these oxides. For these purposes, raw materials such as kaolin, talc and technical clay material are used. Cordierite melts at temperatures 1460 – 1550</w:t>
      </w:r>
      <w:r w:rsidRPr="00FD6884">
        <w:rPr>
          <w:bCs/>
          <w:sz w:val="20"/>
          <w:szCs w:val="20"/>
          <w:vertAlign w:val="superscript"/>
        </w:rPr>
        <w:t>o</w:t>
      </w:r>
      <w:r w:rsidRPr="00FD6884">
        <w:rPr>
          <w:bCs/>
          <w:sz w:val="20"/>
          <w:szCs w:val="20"/>
        </w:rPr>
        <w:t xml:space="preserve">C. Cordierite masses have a short baking interval and this is on of the basic problems in the production of cordierite ceramics. If baking is performed below the optimal temperature, a sufficient quantity of cordierite will not be formed, and if it is performed above the optimal baking temperature, part of the formed cordierite will be decomposed to mulite and metasilicate of magnesium. In both cases, this will have negative effects on the technical characteristics of cordierite </w:t>
      </w:r>
      <w:r w:rsidRPr="00FD6884">
        <w:rPr>
          <w:bCs/>
          <w:sz w:val="20"/>
          <w:szCs w:val="20"/>
        </w:rPr>
        <w:sym w:font="Symbol" w:char="F05B"/>
      </w:r>
      <w:r w:rsidRPr="00FD6884">
        <w:rPr>
          <w:bCs/>
          <w:sz w:val="20"/>
          <w:szCs w:val="20"/>
        </w:rPr>
        <w:t>7-9</w:t>
      </w:r>
      <w:r w:rsidRPr="00FD6884">
        <w:rPr>
          <w:bCs/>
          <w:sz w:val="20"/>
          <w:szCs w:val="20"/>
        </w:rPr>
        <w:sym w:font="Symbol" w:char="F05D"/>
      </w:r>
      <w:r w:rsidRPr="00FD6884">
        <w:rPr>
          <w:bCs/>
          <w:sz w:val="20"/>
          <w:szCs w:val="20"/>
        </w:rPr>
        <w:t>.</w:t>
      </w:r>
    </w:p>
    <w:p w:rsidR="00D534FD" w:rsidRPr="00FD6884" w:rsidRDefault="00D534FD" w:rsidP="00FD6884">
      <w:pPr>
        <w:pStyle w:val="BodyTextIndent"/>
        <w:tabs>
          <w:tab w:val="left" w:pos="720"/>
        </w:tabs>
        <w:ind w:left="0"/>
        <w:jc w:val="both"/>
        <w:rPr>
          <w:bCs/>
          <w:sz w:val="20"/>
          <w:szCs w:val="20"/>
        </w:rPr>
      </w:pPr>
    </w:p>
    <w:p w:rsidR="00D534FD" w:rsidRPr="00FD6884" w:rsidRDefault="00D534FD" w:rsidP="00FD6884">
      <w:pPr>
        <w:pStyle w:val="BodyTextIndent"/>
        <w:tabs>
          <w:tab w:val="left" w:pos="720"/>
        </w:tabs>
        <w:ind w:left="0"/>
        <w:jc w:val="both"/>
        <w:rPr>
          <w:bCs/>
          <w:sz w:val="20"/>
          <w:szCs w:val="20"/>
        </w:rPr>
      </w:pPr>
      <w:r w:rsidRPr="00FD6884">
        <w:rPr>
          <w:bCs/>
          <w:sz w:val="20"/>
          <w:szCs w:val="20"/>
        </w:rPr>
        <w:t>In the aim of expanding the interval of the synthesis condition and improving a number of properties within these experiments, an additive for the cordierite mixture was used – feldspar in the amount 5%. In the way, the interval of the synthesis condition was expanded to 40 – 60</w:t>
      </w:r>
      <w:r w:rsidRPr="00FD6884">
        <w:rPr>
          <w:bCs/>
          <w:sz w:val="20"/>
          <w:szCs w:val="20"/>
          <w:vertAlign w:val="superscript"/>
        </w:rPr>
        <w:t>o</w:t>
      </w:r>
      <w:r w:rsidRPr="00FD6884">
        <w:rPr>
          <w:bCs/>
          <w:sz w:val="20"/>
          <w:szCs w:val="20"/>
        </w:rPr>
        <w:t xml:space="preserve">C. The widespread application of cordierite ceramics is a result of, firsty due to its properties – low inductive capacity, low thermal expansion coefficient, high resistance to thermal shock and good mechanical properties. Cordierite ceramic belongs to the group of materials which has a very low thermal expansion coefficient, thermal stability and is used as an insulating element and detail in electrothcermics </w:t>
      </w:r>
      <w:r w:rsidRPr="00FD6884">
        <w:rPr>
          <w:bCs/>
          <w:sz w:val="20"/>
          <w:szCs w:val="20"/>
        </w:rPr>
        <w:sym w:font="Symbol" w:char="F05B"/>
      </w:r>
      <w:r w:rsidRPr="00FD6884">
        <w:rPr>
          <w:bCs/>
          <w:sz w:val="20"/>
          <w:szCs w:val="20"/>
        </w:rPr>
        <w:t>8-11</w:t>
      </w:r>
      <w:r w:rsidRPr="00FD6884">
        <w:rPr>
          <w:bCs/>
          <w:sz w:val="20"/>
          <w:szCs w:val="20"/>
        </w:rPr>
        <w:sym w:font="Symbol" w:char="F05D"/>
      </w:r>
      <w:r w:rsidRPr="00FD6884">
        <w:rPr>
          <w:bCs/>
          <w:sz w:val="20"/>
          <w:szCs w:val="20"/>
        </w:rPr>
        <w:t>.</w:t>
      </w:r>
    </w:p>
    <w:p w:rsidR="00D534FD" w:rsidRPr="00FD6884" w:rsidRDefault="00D534FD" w:rsidP="00FD6884">
      <w:pPr>
        <w:pStyle w:val="BodyTextIndent"/>
        <w:tabs>
          <w:tab w:val="left" w:pos="720"/>
        </w:tabs>
        <w:ind w:left="0"/>
        <w:jc w:val="both"/>
        <w:rPr>
          <w:bCs/>
          <w:sz w:val="20"/>
          <w:szCs w:val="20"/>
        </w:rPr>
      </w:pPr>
    </w:p>
    <w:p w:rsidR="00D534FD" w:rsidRPr="00FD6884" w:rsidRDefault="00D534FD" w:rsidP="00FD6884">
      <w:pPr>
        <w:pStyle w:val="BodyTextIndent"/>
        <w:tabs>
          <w:tab w:val="left" w:pos="720"/>
        </w:tabs>
        <w:ind w:left="0"/>
        <w:jc w:val="both"/>
        <w:rPr>
          <w:bCs/>
          <w:sz w:val="20"/>
          <w:szCs w:val="20"/>
        </w:rPr>
      </w:pPr>
      <w:r w:rsidRPr="00FD6884">
        <w:rPr>
          <w:sz w:val="20"/>
          <w:szCs w:val="20"/>
        </w:rPr>
        <w:t>Talc</w:t>
      </w:r>
      <w:r w:rsidRPr="00FD6884">
        <w:rPr>
          <w:bCs/>
          <w:sz w:val="20"/>
          <w:szCs w:val="20"/>
        </w:rPr>
        <w:t xml:space="preserve"> is a magnesium hydrosilicate of which the general formula can be show as H</w:t>
      </w:r>
      <w:r w:rsidRPr="00FD6884">
        <w:rPr>
          <w:bCs/>
          <w:sz w:val="20"/>
          <w:szCs w:val="20"/>
          <w:vertAlign w:val="subscript"/>
        </w:rPr>
        <w:t>2</w:t>
      </w:r>
      <w:r w:rsidRPr="00FD6884">
        <w:rPr>
          <w:bCs/>
          <w:sz w:val="20"/>
          <w:szCs w:val="20"/>
        </w:rPr>
        <w:t>Mg</w:t>
      </w:r>
      <w:r w:rsidRPr="00FD6884">
        <w:rPr>
          <w:bCs/>
          <w:sz w:val="20"/>
          <w:szCs w:val="20"/>
          <w:vertAlign w:val="subscript"/>
        </w:rPr>
        <w:t>2</w:t>
      </w:r>
      <w:r w:rsidRPr="00FD6884">
        <w:rPr>
          <w:bCs/>
          <w:sz w:val="20"/>
          <w:szCs w:val="20"/>
        </w:rPr>
        <w:t>(SiO</w:t>
      </w:r>
      <w:r w:rsidRPr="00FD6884">
        <w:rPr>
          <w:bCs/>
          <w:sz w:val="20"/>
          <w:szCs w:val="20"/>
          <w:vertAlign w:val="subscript"/>
        </w:rPr>
        <w:t>3</w:t>
      </w:r>
      <w:r w:rsidRPr="00FD6884">
        <w:rPr>
          <w:bCs/>
          <w:sz w:val="20"/>
          <w:szCs w:val="20"/>
        </w:rPr>
        <w:t>)</w:t>
      </w:r>
      <w:r w:rsidRPr="00FD6884">
        <w:rPr>
          <w:bCs/>
          <w:sz w:val="20"/>
          <w:szCs w:val="20"/>
          <w:vertAlign w:val="subscript"/>
        </w:rPr>
        <w:t>4</w:t>
      </w:r>
      <w:r w:rsidRPr="00FD6884">
        <w:rPr>
          <w:bCs/>
          <w:sz w:val="20"/>
          <w:szCs w:val="20"/>
        </w:rPr>
        <w:t xml:space="preserve"> or Mg</w:t>
      </w:r>
      <w:r w:rsidRPr="00FD6884">
        <w:rPr>
          <w:bCs/>
          <w:sz w:val="20"/>
          <w:szCs w:val="20"/>
          <w:vertAlign w:val="subscript"/>
        </w:rPr>
        <w:t>6</w:t>
      </w:r>
      <w:r w:rsidRPr="00FD6884">
        <w:rPr>
          <w:bCs/>
          <w:sz w:val="20"/>
          <w:szCs w:val="20"/>
        </w:rPr>
        <w:t>(OH)</w:t>
      </w:r>
      <w:r w:rsidRPr="00FD6884">
        <w:rPr>
          <w:bCs/>
          <w:sz w:val="20"/>
          <w:szCs w:val="20"/>
          <w:vertAlign w:val="subscript"/>
        </w:rPr>
        <w:t>4</w:t>
      </w:r>
      <w:r w:rsidRPr="00FD6884">
        <w:rPr>
          <w:bCs/>
          <w:sz w:val="20"/>
          <w:szCs w:val="20"/>
        </w:rPr>
        <w:t>(Si</w:t>
      </w:r>
      <w:r w:rsidRPr="00FD6884">
        <w:rPr>
          <w:bCs/>
          <w:sz w:val="20"/>
          <w:szCs w:val="20"/>
          <w:vertAlign w:val="subscript"/>
        </w:rPr>
        <w:t>8</w:t>
      </w:r>
      <w:r w:rsidRPr="00FD6884">
        <w:rPr>
          <w:bCs/>
          <w:sz w:val="20"/>
          <w:szCs w:val="20"/>
        </w:rPr>
        <w:t>O</w:t>
      </w:r>
      <w:r w:rsidRPr="00FD6884">
        <w:rPr>
          <w:bCs/>
          <w:sz w:val="20"/>
          <w:szCs w:val="20"/>
          <w:vertAlign w:val="subscript"/>
        </w:rPr>
        <w:t>20</w:t>
      </w:r>
      <w:r w:rsidRPr="00FD6884">
        <w:rPr>
          <w:bCs/>
          <w:sz w:val="20"/>
          <w:szCs w:val="20"/>
        </w:rPr>
        <w:t>) with Al</w:t>
      </w:r>
      <w:r w:rsidRPr="00FD6884">
        <w:rPr>
          <w:bCs/>
          <w:sz w:val="20"/>
          <w:szCs w:val="20"/>
          <w:vertAlign w:val="subscript"/>
        </w:rPr>
        <w:t>2</w:t>
      </w:r>
      <w:r w:rsidRPr="00FD6884">
        <w:rPr>
          <w:bCs/>
          <w:sz w:val="20"/>
          <w:szCs w:val="20"/>
        </w:rPr>
        <w:t>O</w:t>
      </w:r>
      <w:r w:rsidRPr="00FD6884">
        <w:rPr>
          <w:bCs/>
          <w:sz w:val="20"/>
          <w:szCs w:val="20"/>
          <w:vertAlign w:val="subscript"/>
        </w:rPr>
        <w:t>3</w:t>
      </w:r>
      <w:r w:rsidRPr="00FD6884">
        <w:rPr>
          <w:bCs/>
          <w:sz w:val="20"/>
          <w:szCs w:val="20"/>
        </w:rPr>
        <w:t>, FeO, NiO, CaO as impurities. Hardness according to the Mohs scale is 1, and density is 2,6 – 2,8 g/cm</w:t>
      </w:r>
      <w:r w:rsidRPr="00FD6884">
        <w:rPr>
          <w:bCs/>
          <w:sz w:val="20"/>
          <w:szCs w:val="20"/>
          <w:vertAlign w:val="superscript"/>
        </w:rPr>
        <w:t>3</w:t>
      </w:r>
      <w:r w:rsidRPr="00FD6884">
        <w:rPr>
          <w:bCs/>
          <w:sz w:val="20"/>
          <w:szCs w:val="20"/>
        </w:rPr>
        <w:t xml:space="preserve">. Talc is used in many industrial branches due to its properties of low hardness, sticking ability (surface lining), high melting point, chemical inertness, low electrical conductivity, distinct capability to absorb greases, dyes resins and low electrical conductivity, distinct capability to absorb greases, dyes, resins and low hydroscopicity </w:t>
      </w:r>
      <w:r w:rsidRPr="00FD6884">
        <w:rPr>
          <w:bCs/>
          <w:sz w:val="20"/>
          <w:szCs w:val="20"/>
        </w:rPr>
        <w:sym w:font="Symbol" w:char="F05B"/>
      </w:r>
      <w:r w:rsidRPr="00FD6884">
        <w:rPr>
          <w:bCs/>
          <w:sz w:val="20"/>
          <w:szCs w:val="20"/>
        </w:rPr>
        <w:t>1</w:t>
      </w:r>
      <w:r w:rsidRPr="00FD6884">
        <w:rPr>
          <w:bCs/>
          <w:sz w:val="20"/>
          <w:szCs w:val="20"/>
        </w:rPr>
        <w:sym w:font="Symbol" w:char="F05D"/>
      </w:r>
      <w:r w:rsidRPr="00FD6884">
        <w:rPr>
          <w:bCs/>
          <w:sz w:val="20"/>
          <w:szCs w:val="20"/>
        </w:rPr>
        <w:t>.</w:t>
      </w:r>
    </w:p>
    <w:p w:rsidR="00FD6884" w:rsidRDefault="00FD6884" w:rsidP="00FD6884">
      <w:pPr>
        <w:pStyle w:val="BodyTextIndent"/>
        <w:tabs>
          <w:tab w:val="left" w:pos="720"/>
        </w:tabs>
        <w:jc w:val="both"/>
        <w:rPr>
          <w:sz w:val="20"/>
          <w:szCs w:val="20"/>
        </w:rPr>
      </w:pPr>
    </w:p>
    <w:p w:rsidR="00D534FD" w:rsidRDefault="00D534FD" w:rsidP="00FD6884">
      <w:pPr>
        <w:pStyle w:val="BodyTextIndent"/>
        <w:numPr>
          <w:ilvl w:val="0"/>
          <w:numId w:val="4"/>
        </w:numPr>
        <w:jc w:val="both"/>
        <w:rPr>
          <w:b/>
          <w:sz w:val="22"/>
          <w:szCs w:val="22"/>
        </w:rPr>
      </w:pPr>
      <w:r w:rsidRPr="00FD6884">
        <w:rPr>
          <w:b/>
          <w:sz w:val="22"/>
          <w:szCs w:val="22"/>
        </w:rPr>
        <w:t>EXPERIMENT</w:t>
      </w:r>
    </w:p>
    <w:p w:rsidR="00D534FD" w:rsidRPr="00FD6884" w:rsidRDefault="00D534FD" w:rsidP="00FD6884">
      <w:pPr>
        <w:pStyle w:val="BodyTextIndent"/>
        <w:tabs>
          <w:tab w:val="left" w:pos="720"/>
        </w:tabs>
        <w:ind w:left="0"/>
        <w:jc w:val="both"/>
        <w:rPr>
          <w:bCs/>
          <w:sz w:val="20"/>
          <w:szCs w:val="20"/>
        </w:rPr>
      </w:pPr>
      <w:r w:rsidRPr="00FD6884">
        <w:rPr>
          <w:bCs/>
          <w:sz w:val="20"/>
          <w:szCs w:val="20"/>
        </w:rPr>
        <w:t xml:space="preserve">For research, polystyrene models in the form of stepped tests and plates were used. After casting, test bars were cut out from a particular places on the castings and used for investigation of structural and mechanical properties. Castings were carried out in the form of </w:t>
      </w:r>
      <w:r w:rsidRPr="00FD6884">
        <w:rPr>
          <w:bCs/>
          <w:sz w:val="20"/>
          <w:szCs w:val="20"/>
        </w:rPr>
        <w:sym w:font="Symbol" w:char="F0B2"/>
      </w:r>
      <w:r w:rsidRPr="00FD6884">
        <w:rPr>
          <w:bCs/>
          <w:sz w:val="20"/>
          <w:szCs w:val="20"/>
        </w:rPr>
        <w:t>clusters</w:t>
      </w:r>
      <w:r w:rsidRPr="00FD6884">
        <w:rPr>
          <w:bCs/>
          <w:sz w:val="20"/>
          <w:szCs w:val="20"/>
        </w:rPr>
        <w:sym w:font="Symbol" w:char="F0B2"/>
      </w:r>
      <w:r w:rsidRPr="00FD6884">
        <w:rPr>
          <w:bCs/>
          <w:sz w:val="20"/>
          <w:szCs w:val="20"/>
        </w:rPr>
        <w:t>, i.e., with greater nubmer of models located at the central conductor, in order to get greater number of castings under the same conditions.</w:t>
      </w:r>
    </w:p>
    <w:p w:rsidR="00D534FD" w:rsidRPr="00D534FD" w:rsidRDefault="00D534FD" w:rsidP="00FD6884">
      <w:pPr>
        <w:jc w:val="both"/>
        <w:rPr>
          <w:sz w:val="20"/>
          <w:szCs w:val="20"/>
        </w:rPr>
      </w:pPr>
    </w:p>
    <w:p w:rsidR="00D534FD" w:rsidRPr="00D534FD" w:rsidRDefault="00D534FD" w:rsidP="00FD6884">
      <w:pPr>
        <w:jc w:val="both"/>
        <w:rPr>
          <w:sz w:val="20"/>
          <w:szCs w:val="20"/>
        </w:rPr>
      </w:pPr>
      <w:r w:rsidRPr="00D534FD">
        <w:rPr>
          <w:sz w:val="20"/>
          <w:szCs w:val="20"/>
        </w:rPr>
        <w:t>After drying, the lined patterns were placed into steel moulding boxes,and covered with free quartz sand of 0,26 grain size.Casting was carried out after moulding.The alloy AlSi10Mg was used for testing at casting temperature 730</w:t>
      </w:r>
      <w:r w:rsidRPr="00D534FD">
        <w:rPr>
          <w:sz w:val="20"/>
          <w:szCs w:val="20"/>
          <w:vertAlign w:val="superscript"/>
        </w:rPr>
        <w:t>o</w:t>
      </w:r>
      <w:r w:rsidRPr="00D534FD">
        <w:rPr>
          <w:sz w:val="20"/>
          <w:szCs w:val="20"/>
        </w:rPr>
        <w:t>C.Preparation of the liquid metal was done by rafination of salt,RAFALIT S,supplied by TERMIT,Domzale,0.1</w:t>
      </w:r>
      <w:r w:rsidRPr="00D534FD">
        <w:rPr>
          <w:sz w:val="20"/>
          <w:szCs w:val="20"/>
          <w:vertAlign w:val="superscript"/>
        </w:rPr>
        <w:t>o</w:t>
      </w:r>
      <w:r w:rsidRPr="00D534FD">
        <w:rPr>
          <w:sz w:val="20"/>
          <w:szCs w:val="20"/>
        </w:rPr>
        <w:t xml:space="preserve">/o of the casting mass, followed by degasification with  0.3 </w:t>
      </w:r>
      <w:r w:rsidRPr="00D534FD">
        <w:rPr>
          <w:sz w:val="20"/>
          <w:szCs w:val="20"/>
          <w:vertAlign w:val="superscript"/>
        </w:rPr>
        <w:t>o</w:t>
      </w:r>
      <w:r w:rsidRPr="00D534FD">
        <w:rPr>
          <w:sz w:val="20"/>
          <w:szCs w:val="20"/>
        </w:rPr>
        <w:t>/</w:t>
      </w:r>
      <w:r w:rsidRPr="00D534FD">
        <w:rPr>
          <w:sz w:val="20"/>
          <w:szCs w:val="20"/>
          <w:vertAlign w:val="subscript"/>
        </w:rPr>
        <w:t>o</w:t>
      </w:r>
      <w:r w:rsidRPr="00D534FD">
        <w:rPr>
          <w:sz w:val="20"/>
          <w:szCs w:val="20"/>
        </w:rPr>
        <w:t xml:space="preserve"> briquetted C</w:t>
      </w:r>
      <w:r w:rsidRPr="00D534FD">
        <w:rPr>
          <w:sz w:val="20"/>
          <w:szCs w:val="20"/>
          <w:vertAlign w:val="subscript"/>
        </w:rPr>
        <w:t>2</w:t>
      </w:r>
      <w:r w:rsidRPr="00D534FD">
        <w:rPr>
          <w:sz w:val="20"/>
          <w:szCs w:val="20"/>
        </w:rPr>
        <w:t>Cl</w:t>
      </w:r>
      <w:r w:rsidRPr="00D534FD">
        <w:rPr>
          <w:sz w:val="20"/>
          <w:szCs w:val="20"/>
          <w:vertAlign w:val="subscript"/>
        </w:rPr>
        <w:t>6</w:t>
      </w:r>
      <w:r w:rsidRPr="00D534FD">
        <w:rPr>
          <w:sz w:val="20"/>
          <w:szCs w:val="20"/>
        </w:rPr>
        <w:t>(Termit, Domzale) and modification with 0.05</w:t>
      </w:r>
      <w:r w:rsidRPr="00D534FD">
        <w:rPr>
          <w:sz w:val="20"/>
          <w:szCs w:val="20"/>
          <w:vertAlign w:val="superscript"/>
        </w:rPr>
        <w:t>o</w:t>
      </w:r>
      <w:r w:rsidRPr="00D534FD">
        <w:rPr>
          <w:sz w:val="20"/>
          <w:szCs w:val="20"/>
        </w:rPr>
        <w:t>/</w:t>
      </w:r>
      <w:r w:rsidRPr="00D534FD">
        <w:rPr>
          <w:sz w:val="20"/>
          <w:szCs w:val="20"/>
          <w:vertAlign w:val="subscript"/>
        </w:rPr>
        <w:t>o</w:t>
      </w:r>
      <w:r w:rsidRPr="00D534FD">
        <w:rPr>
          <w:sz w:val="20"/>
          <w:szCs w:val="20"/>
        </w:rPr>
        <w:t xml:space="preserve"> natrium.After hardening and  cooling ,the castings were shaken out of moulds and tested.</w:t>
      </w:r>
    </w:p>
    <w:p w:rsidR="00D534FD" w:rsidRPr="00D534FD" w:rsidRDefault="00D534FD" w:rsidP="00FD6884">
      <w:pPr>
        <w:rPr>
          <w:sz w:val="20"/>
          <w:szCs w:val="20"/>
        </w:rPr>
      </w:pPr>
    </w:p>
    <w:p w:rsidR="00D534FD" w:rsidRPr="00D534FD" w:rsidRDefault="00D534FD" w:rsidP="00FD6884">
      <w:pPr>
        <w:jc w:val="both"/>
        <w:rPr>
          <w:sz w:val="20"/>
          <w:szCs w:val="20"/>
        </w:rPr>
      </w:pPr>
      <w:r w:rsidRPr="00D534FD">
        <w:rPr>
          <w:sz w:val="20"/>
          <w:szCs w:val="20"/>
        </w:rPr>
        <w:t>The refractory linings for the Lost Foam process were made on water base, and within their composition they had (table 1) :</w:t>
      </w:r>
    </w:p>
    <w:p w:rsidR="00D534FD" w:rsidRPr="00D534FD" w:rsidRDefault="00D534FD" w:rsidP="00B26DBD">
      <w:pPr>
        <w:jc w:val="center"/>
        <w:rPr>
          <w:sz w:val="20"/>
          <w:szCs w:val="20"/>
        </w:rPr>
      </w:pPr>
      <w:r w:rsidRPr="00D534FD">
        <w:rPr>
          <w:sz w:val="20"/>
          <w:szCs w:val="20"/>
        </w:rPr>
        <w:t>Table 1</w:t>
      </w:r>
      <w:r w:rsidR="00B26DBD">
        <w:rPr>
          <w:sz w:val="20"/>
          <w:szCs w:val="20"/>
        </w:rPr>
        <w:t>:</w:t>
      </w:r>
      <w:r w:rsidRPr="00D534FD">
        <w:rPr>
          <w:sz w:val="20"/>
          <w:szCs w:val="20"/>
        </w:rPr>
        <w:t xml:space="preserve"> Composition  c</w:t>
      </w:r>
      <w:r w:rsidRPr="00D534FD">
        <w:rPr>
          <w:color w:val="000000"/>
          <w:sz w:val="20"/>
          <w:szCs w:val="20"/>
          <w:lang w:val="hr-HR"/>
        </w:rPr>
        <w:t>eramic linings</w:t>
      </w:r>
    </w:p>
    <w:tbl>
      <w:tblPr>
        <w:tblW w:w="0" w:type="auto"/>
        <w:tblInd w:w="300" w:type="dxa"/>
        <w:tblBorders>
          <w:top w:val="double" w:sz="4" w:space="0" w:color="auto"/>
          <w:left w:val="double" w:sz="4" w:space="0" w:color="auto"/>
          <w:bottom w:val="double" w:sz="4" w:space="0" w:color="auto"/>
          <w:right w:val="double" w:sz="4" w:space="0" w:color="auto"/>
        </w:tblBorders>
        <w:tblLook w:val="0000"/>
      </w:tblPr>
      <w:tblGrid>
        <w:gridCol w:w="1430"/>
        <w:gridCol w:w="1985"/>
        <w:gridCol w:w="1984"/>
        <w:gridCol w:w="3650"/>
      </w:tblGrid>
      <w:tr w:rsidR="00D534FD" w:rsidRPr="00D534FD">
        <w:tc>
          <w:tcPr>
            <w:tcW w:w="1430" w:type="dxa"/>
            <w:tcBorders>
              <w:top w:val="double" w:sz="4" w:space="0" w:color="auto"/>
              <w:left w:val="double" w:sz="4" w:space="0" w:color="auto"/>
              <w:bottom w:val="nil"/>
              <w:right w:val="single" w:sz="4" w:space="0" w:color="auto"/>
            </w:tcBorders>
          </w:tcPr>
          <w:p w:rsidR="00D534FD" w:rsidRPr="00D534FD" w:rsidRDefault="00D534FD" w:rsidP="00FD6884">
            <w:pPr>
              <w:pStyle w:val="BodyTextIndent"/>
              <w:tabs>
                <w:tab w:val="left" w:pos="720"/>
              </w:tabs>
              <w:ind w:left="0"/>
              <w:rPr>
                <w:sz w:val="20"/>
                <w:szCs w:val="20"/>
              </w:rPr>
            </w:pPr>
            <w:r w:rsidRPr="00D534FD">
              <w:rPr>
                <w:sz w:val="20"/>
                <w:szCs w:val="20"/>
              </w:rPr>
              <w:t>Designation of  lining</w:t>
            </w:r>
          </w:p>
        </w:tc>
        <w:tc>
          <w:tcPr>
            <w:tcW w:w="1985" w:type="dxa"/>
            <w:tcBorders>
              <w:top w:val="double" w:sz="4" w:space="0" w:color="auto"/>
              <w:left w:val="single" w:sz="4" w:space="0" w:color="auto"/>
              <w:bottom w:val="single" w:sz="4" w:space="0" w:color="auto"/>
              <w:right w:val="nil"/>
            </w:tcBorders>
          </w:tcPr>
          <w:p w:rsidR="00D534FD" w:rsidRPr="00D534FD" w:rsidRDefault="00D534FD" w:rsidP="00FD6884">
            <w:pPr>
              <w:pStyle w:val="BodyTextIndent"/>
              <w:tabs>
                <w:tab w:val="left" w:pos="720"/>
              </w:tabs>
              <w:ind w:left="0"/>
              <w:jc w:val="both"/>
              <w:rPr>
                <w:b/>
                <w:bCs/>
                <w:sz w:val="20"/>
                <w:szCs w:val="20"/>
              </w:rPr>
            </w:pPr>
          </w:p>
        </w:tc>
        <w:tc>
          <w:tcPr>
            <w:tcW w:w="1984" w:type="dxa"/>
            <w:tcBorders>
              <w:top w:val="double" w:sz="4" w:space="0" w:color="auto"/>
              <w:left w:val="nil"/>
              <w:bottom w:val="single" w:sz="4" w:space="0" w:color="auto"/>
              <w:right w:val="nil"/>
            </w:tcBorders>
          </w:tcPr>
          <w:p w:rsidR="00D534FD" w:rsidRPr="00D534FD" w:rsidRDefault="00D534FD" w:rsidP="00FD6884">
            <w:pPr>
              <w:pStyle w:val="BodyTextIndent"/>
              <w:tabs>
                <w:tab w:val="left" w:pos="720"/>
              </w:tabs>
              <w:ind w:left="0"/>
              <w:rPr>
                <w:sz w:val="20"/>
                <w:szCs w:val="20"/>
              </w:rPr>
            </w:pPr>
            <w:r w:rsidRPr="00D534FD">
              <w:rPr>
                <w:sz w:val="20"/>
                <w:szCs w:val="20"/>
              </w:rPr>
              <w:t>Composition  (%)</w:t>
            </w:r>
          </w:p>
        </w:tc>
        <w:tc>
          <w:tcPr>
            <w:tcW w:w="3650" w:type="dxa"/>
            <w:tcBorders>
              <w:top w:val="double" w:sz="4" w:space="0" w:color="auto"/>
              <w:left w:val="nil"/>
              <w:bottom w:val="single" w:sz="4" w:space="0" w:color="auto"/>
              <w:right w:val="double" w:sz="4" w:space="0" w:color="auto"/>
            </w:tcBorders>
          </w:tcPr>
          <w:p w:rsidR="00D534FD" w:rsidRPr="00D534FD" w:rsidRDefault="00D534FD" w:rsidP="00FD6884">
            <w:pPr>
              <w:pStyle w:val="BodyTextIndent"/>
              <w:tabs>
                <w:tab w:val="left" w:pos="720"/>
              </w:tabs>
              <w:ind w:left="0"/>
              <w:jc w:val="both"/>
              <w:rPr>
                <w:b/>
                <w:bCs/>
                <w:sz w:val="20"/>
                <w:szCs w:val="20"/>
              </w:rPr>
            </w:pPr>
          </w:p>
        </w:tc>
      </w:tr>
      <w:tr w:rsidR="00D534FD" w:rsidRPr="00D534FD">
        <w:tc>
          <w:tcPr>
            <w:tcW w:w="1430" w:type="dxa"/>
            <w:tcBorders>
              <w:top w:val="nil"/>
              <w:left w:val="double" w:sz="4" w:space="0" w:color="auto"/>
              <w:bottom w:val="single" w:sz="4" w:space="0" w:color="auto"/>
              <w:right w:val="single" w:sz="4" w:space="0" w:color="auto"/>
            </w:tcBorders>
          </w:tcPr>
          <w:p w:rsidR="00D534FD" w:rsidRPr="00D534FD" w:rsidRDefault="00D534FD" w:rsidP="00FD6884">
            <w:pPr>
              <w:pStyle w:val="BodyTextIndent"/>
              <w:tabs>
                <w:tab w:val="left" w:pos="720"/>
              </w:tabs>
              <w:ind w:left="0"/>
              <w:rPr>
                <w:sz w:val="20"/>
                <w:szCs w:val="20"/>
              </w:rPr>
            </w:pPr>
          </w:p>
        </w:tc>
        <w:tc>
          <w:tcPr>
            <w:tcW w:w="1985" w:type="dxa"/>
            <w:tcBorders>
              <w:top w:val="single" w:sz="4" w:space="0" w:color="auto"/>
              <w:left w:val="single" w:sz="4" w:space="0" w:color="auto"/>
              <w:bottom w:val="single" w:sz="4" w:space="0" w:color="auto"/>
              <w:right w:val="single" w:sz="4" w:space="0" w:color="auto"/>
            </w:tcBorders>
          </w:tcPr>
          <w:p w:rsidR="00D534FD" w:rsidRPr="00D534FD" w:rsidRDefault="00D534FD" w:rsidP="00FD6884">
            <w:pPr>
              <w:pStyle w:val="BodyTextIndent"/>
              <w:tabs>
                <w:tab w:val="left" w:pos="720"/>
              </w:tabs>
              <w:ind w:left="0"/>
              <w:jc w:val="both"/>
              <w:rPr>
                <w:b/>
                <w:bCs/>
                <w:sz w:val="20"/>
                <w:szCs w:val="20"/>
              </w:rPr>
            </w:pPr>
            <w:r w:rsidRPr="00D534FD">
              <w:rPr>
                <w:sz w:val="20"/>
                <w:szCs w:val="20"/>
              </w:rPr>
              <w:t>refractory powder</w:t>
            </w:r>
          </w:p>
        </w:tc>
        <w:tc>
          <w:tcPr>
            <w:tcW w:w="1984" w:type="dxa"/>
            <w:tcBorders>
              <w:top w:val="single" w:sz="4" w:space="0" w:color="auto"/>
              <w:left w:val="single" w:sz="4" w:space="0" w:color="auto"/>
              <w:bottom w:val="single" w:sz="4" w:space="0" w:color="auto"/>
              <w:right w:val="single" w:sz="4" w:space="0" w:color="auto"/>
            </w:tcBorders>
          </w:tcPr>
          <w:p w:rsidR="00D534FD" w:rsidRPr="00D534FD" w:rsidRDefault="00D534FD" w:rsidP="00FD6884">
            <w:pPr>
              <w:pStyle w:val="BodyTextIndent"/>
              <w:tabs>
                <w:tab w:val="left" w:pos="720"/>
              </w:tabs>
              <w:ind w:left="0"/>
              <w:rPr>
                <w:b/>
                <w:bCs/>
                <w:sz w:val="20"/>
                <w:szCs w:val="20"/>
              </w:rPr>
            </w:pPr>
            <w:r w:rsidRPr="00D534FD">
              <w:rPr>
                <w:sz w:val="20"/>
                <w:szCs w:val="20"/>
              </w:rPr>
              <w:t>binder</w:t>
            </w:r>
          </w:p>
        </w:tc>
        <w:tc>
          <w:tcPr>
            <w:tcW w:w="3650" w:type="dxa"/>
            <w:tcBorders>
              <w:top w:val="single" w:sz="4" w:space="0" w:color="auto"/>
              <w:left w:val="single" w:sz="4" w:space="0" w:color="auto"/>
              <w:bottom w:val="single" w:sz="4" w:space="0" w:color="auto"/>
              <w:right w:val="double" w:sz="4" w:space="0" w:color="auto"/>
            </w:tcBorders>
          </w:tcPr>
          <w:p w:rsidR="00D534FD" w:rsidRPr="00D534FD" w:rsidRDefault="00D534FD" w:rsidP="00FD6884">
            <w:pPr>
              <w:pStyle w:val="BodyTextIndent"/>
              <w:tabs>
                <w:tab w:val="left" w:pos="720"/>
              </w:tabs>
              <w:ind w:left="0"/>
              <w:rPr>
                <w:b/>
                <w:bCs/>
                <w:sz w:val="20"/>
                <w:szCs w:val="20"/>
              </w:rPr>
            </w:pPr>
            <w:r w:rsidRPr="00D534FD">
              <w:rPr>
                <w:sz w:val="20"/>
                <w:szCs w:val="20"/>
              </w:rPr>
              <w:t xml:space="preserve"> agents for keeping suspension stability</w:t>
            </w:r>
          </w:p>
        </w:tc>
      </w:tr>
      <w:tr w:rsidR="00D534FD" w:rsidRPr="00D534FD">
        <w:tc>
          <w:tcPr>
            <w:tcW w:w="1430" w:type="dxa"/>
            <w:tcBorders>
              <w:top w:val="single" w:sz="4" w:space="0" w:color="auto"/>
              <w:left w:val="double" w:sz="4" w:space="0" w:color="auto"/>
              <w:bottom w:val="single" w:sz="4" w:space="0" w:color="auto"/>
              <w:right w:val="single" w:sz="4" w:space="0" w:color="auto"/>
            </w:tcBorders>
          </w:tcPr>
          <w:p w:rsidR="00D534FD" w:rsidRPr="00D534FD" w:rsidRDefault="00D534FD" w:rsidP="00FD6884">
            <w:pPr>
              <w:pStyle w:val="BodyTextIndent"/>
              <w:tabs>
                <w:tab w:val="left" w:pos="720"/>
              </w:tabs>
              <w:ind w:left="0"/>
              <w:jc w:val="both"/>
              <w:rPr>
                <w:sz w:val="20"/>
                <w:szCs w:val="20"/>
              </w:rPr>
            </w:pPr>
            <w:r w:rsidRPr="00D534FD">
              <w:rPr>
                <w:sz w:val="20"/>
                <w:szCs w:val="20"/>
              </w:rPr>
              <w:t>T</w:t>
            </w:r>
          </w:p>
        </w:tc>
        <w:tc>
          <w:tcPr>
            <w:tcW w:w="1985" w:type="dxa"/>
            <w:tcBorders>
              <w:top w:val="single" w:sz="4" w:space="0" w:color="auto"/>
              <w:left w:val="single" w:sz="4" w:space="0" w:color="auto"/>
              <w:bottom w:val="single" w:sz="4" w:space="0" w:color="auto"/>
              <w:right w:val="single" w:sz="4" w:space="0" w:color="auto"/>
            </w:tcBorders>
          </w:tcPr>
          <w:p w:rsidR="00D534FD" w:rsidRPr="00D534FD" w:rsidRDefault="00D534FD" w:rsidP="00FD6884">
            <w:pPr>
              <w:pStyle w:val="BodyTextIndent"/>
              <w:tabs>
                <w:tab w:val="left" w:pos="720"/>
              </w:tabs>
              <w:ind w:left="0"/>
              <w:rPr>
                <w:b/>
                <w:bCs/>
                <w:sz w:val="20"/>
                <w:szCs w:val="20"/>
              </w:rPr>
            </w:pPr>
            <w:r w:rsidRPr="00D534FD">
              <w:rPr>
                <w:b/>
                <w:bCs/>
                <w:sz w:val="20"/>
                <w:szCs w:val="20"/>
              </w:rPr>
              <w:t>Talc: 88</w:t>
            </w:r>
          </w:p>
        </w:tc>
        <w:tc>
          <w:tcPr>
            <w:tcW w:w="1984" w:type="dxa"/>
            <w:tcBorders>
              <w:top w:val="single" w:sz="4" w:space="0" w:color="auto"/>
              <w:left w:val="single" w:sz="4" w:space="0" w:color="auto"/>
              <w:bottom w:val="single" w:sz="4" w:space="0" w:color="auto"/>
              <w:right w:val="single" w:sz="4" w:space="0" w:color="auto"/>
            </w:tcBorders>
          </w:tcPr>
          <w:p w:rsidR="00D534FD" w:rsidRPr="00D534FD" w:rsidRDefault="00D534FD" w:rsidP="00FD6884">
            <w:pPr>
              <w:pStyle w:val="BodyTextIndent"/>
              <w:tabs>
                <w:tab w:val="left" w:pos="720"/>
              </w:tabs>
              <w:ind w:left="0"/>
              <w:rPr>
                <w:b/>
                <w:bCs/>
                <w:sz w:val="20"/>
                <w:szCs w:val="20"/>
              </w:rPr>
            </w:pPr>
            <w:r w:rsidRPr="00D534FD">
              <w:rPr>
                <w:b/>
                <w:bCs/>
                <w:sz w:val="20"/>
                <w:szCs w:val="20"/>
              </w:rPr>
              <w:t>Bentonite: 5-6</w:t>
            </w:r>
          </w:p>
          <w:p w:rsidR="00D534FD" w:rsidRPr="00D534FD" w:rsidRDefault="00D534FD" w:rsidP="00FD6884">
            <w:pPr>
              <w:pStyle w:val="BodyTextIndent"/>
              <w:tabs>
                <w:tab w:val="left" w:pos="720"/>
              </w:tabs>
              <w:ind w:left="0"/>
              <w:rPr>
                <w:b/>
                <w:bCs/>
                <w:sz w:val="20"/>
                <w:szCs w:val="20"/>
              </w:rPr>
            </w:pPr>
            <w:r w:rsidRPr="00D534FD">
              <w:rPr>
                <w:b/>
                <w:bCs/>
                <w:sz w:val="20"/>
                <w:szCs w:val="20"/>
              </w:rPr>
              <w:t>Bindal H: 6-8</w:t>
            </w:r>
          </w:p>
        </w:tc>
        <w:tc>
          <w:tcPr>
            <w:tcW w:w="3650" w:type="dxa"/>
            <w:tcBorders>
              <w:top w:val="single" w:sz="4" w:space="0" w:color="auto"/>
              <w:left w:val="single" w:sz="4" w:space="0" w:color="auto"/>
              <w:bottom w:val="single" w:sz="4" w:space="0" w:color="auto"/>
              <w:right w:val="double" w:sz="4" w:space="0" w:color="auto"/>
            </w:tcBorders>
          </w:tcPr>
          <w:p w:rsidR="00D534FD" w:rsidRPr="00D534FD" w:rsidRDefault="00D534FD" w:rsidP="00FD6884">
            <w:pPr>
              <w:pStyle w:val="BodyTextIndent"/>
              <w:tabs>
                <w:tab w:val="left" w:pos="720"/>
              </w:tabs>
              <w:ind w:left="0"/>
              <w:rPr>
                <w:b/>
                <w:bCs/>
                <w:sz w:val="20"/>
                <w:szCs w:val="20"/>
              </w:rPr>
            </w:pPr>
            <w:r w:rsidRPr="00D534FD">
              <w:rPr>
                <w:b/>
                <w:bCs/>
                <w:sz w:val="20"/>
                <w:szCs w:val="20"/>
              </w:rPr>
              <w:t>Dextrin: 0,5-1</w:t>
            </w:r>
          </w:p>
          <w:p w:rsidR="00D534FD" w:rsidRPr="00D534FD" w:rsidRDefault="00D534FD" w:rsidP="00FD6884">
            <w:pPr>
              <w:pStyle w:val="BodyTextIndent"/>
              <w:tabs>
                <w:tab w:val="left" w:pos="720"/>
              </w:tabs>
              <w:ind w:left="0"/>
              <w:rPr>
                <w:b/>
                <w:bCs/>
                <w:sz w:val="20"/>
                <w:szCs w:val="20"/>
              </w:rPr>
            </w:pPr>
            <w:r w:rsidRPr="00D534FD">
              <w:rPr>
                <w:b/>
                <w:bCs/>
                <w:sz w:val="20"/>
                <w:szCs w:val="20"/>
              </w:rPr>
              <w:t>Lucel: 0,5-1</w:t>
            </w:r>
          </w:p>
        </w:tc>
      </w:tr>
      <w:tr w:rsidR="00D534FD" w:rsidRPr="00D534FD">
        <w:tc>
          <w:tcPr>
            <w:tcW w:w="1430" w:type="dxa"/>
            <w:tcBorders>
              <w:top w:val="single" w:sz="4" w:space="0" w:color="auto"/>
              <w:left w:val="double" w:sz="4" w:space="0" w:color="auto"/>
              <w:bottom w:val="double" w:sz="4" w:space="0" w:color="auto"/>
              <w:right w:val="single" w:sz="4" w:space="0" w:color="auto"/>
            </w:tcBorders>
          </w:tcPr>
          <w:p w:rsidR="00D534FD" w:rsidRPr="00D534FD" w:rsidRDefault="00D534FD" w:rsidP="00FD6884">
            <w:pPr>
              <w:pStyle w:val="BodyTextIndent"/>
              <w:tabs>
                <w:tab w:val="left" w:pos="720"/>
              </w:tabs>
              <w:ind w:left="0"/>
              <w:jc w:val="both"/>
              <w:rPr>
                <w:sz w:val="20"/>
                <w:szCs w:val="20"/>
              </w:rPr>
            </w:pPr>
            <w:r w:rsidRPr="00D534FD">
              <w:rPr>
                <w:sz w:val="20"/>
                <w:szCs w:val="20"/>
              </w:rPr>
              <w:t>C</w:t>
            </w:r>
          </w:p>
        </w:tc>
        <w:tc>
          <w:tcPr>
            <w:tcW w:w="1985" w:type="dxa"/>
            <w:tcBorders>
              <w:top w:val="single" w:sz="4" w:space="0" w:color="auto"/>
              <w:left w:val="single" w:sz="4" w:space="0" w:color="auto"/>
              <w:bottom w:val="double" w:sz="4" w:space="0" w:color="auto"/>
              <w:right w:val="single" w:sz="4" w:space="0" w:color="auto"/>
            </w:tcBorders>
          </w:tcPr>
          <w:p w:rsidR="00D534FD" w:rsidRPr="00D534FD" w:rsidRDefault="00D534FD" w:rsidP="00FD6884">
            <w:pPr>
              <w:pStyle w:val="BodyTextIndent"/>
              <w:tabs>
                <w:tab w:val="left" w:pos="720"/>
              </w:tabs>
              <w:ind w:left="0"/>
              <w:rPr>
                <w:b/>
                <w:bCs/>
                <w:sz w:val="20"/>
                <w:szCs w:val="20"/>
              </w:rPr>
            </w:pPr>
            <w:r w:rsidRPr="00D534FD">
              <w:rPr>
                <w:b/>
                <w:bCs/>
                <w:sz w:val="20"/>
                <w:szCs w:val="20"/>
              </w:rPr>
              <w:t>Cordierite: 92</w:t>
            </w:r>
          </w:p>
        </w:tc>
        <w:tc>
          <w:tcPr>
            <w:tcW w:w="1984" w:type="dxa"/>
            <w:tcBorders>
              <w:top w:val="single" w:sz="4" w:space="0" w:color="auto"/>
              <w:left w:val="single" w:sz="4" w:space="0" w:color="auto"/>
              <w:bottom w:val="double" w:sz="4" w:space="0" w:color="auto"/>
              <w:right w:val="single" w:sz="4" w:space="0" w:color="auto"/>
            </w:tcBorders>
          </w:tcPr>
          <w:p w:rsidR="00D534FD" w:rsidRPr="00D534FD" w:rsidRDefault="00D534FD" w:rsidP="00FD6884">
            <w:pPr>
              <w:pStyle w:val="BodyTextIndent"/>
              <w:tabs>
                <w:tab w:val="left" w:pos="720"/>
              </w:tabs>
              <w:ind w:left="0"/>
              <w:rPr>
                <w:b/>
                <w:bCs/>
                <w:sz w:val="20"/>
                <w:szCs w:val="20"/>
              </w:rPr>
            </w:pPr>
            <w:r w:rsidRPr="00D534FD">
              <w:rPr>
                <w:b/>
                <w:bCs/>
                <w:sz w:val="20"/>
                <w:szCs w:val="20"/>
              </w:rPr>
              <w:t>Bentonite: 1-2</w:t>
            </w:r>
          </w:p>
          <w:p w:rsidR="00D534FD" w:rsidRPr="00D534FD" w:rsidRDefault="00D534FD" w:rsidP="00FD6884">
            <w:pPr>
              <w:pStyle w:val="BodyTextIndent"/>
              <w:tabs>
                <w:tab w:val="left" w:pos="720"/>
              </w:tabs>
              <w:ind w:left="0"/>
              <w:rPr>
                <w:b/>
                <w:bCs/>
                <w:sz w:val="20"/>
                <w:szCs w:val="20"/>
              </w:rPr>
            </w:pPr>
            <w:r w:rsidRPr="00D534FD">
              <w:rPr>
                <w:b/>
                <w:bCs/>
                <w:sz w:val="20"/>
                <w:szCs w:val="20"/>
              </w:rPr>
              <w:t>Na</w:t>
            </w:r>
            <w:r w:rsidRPr="00D534FD">
              <w:rPr>
                <w:b/>
                <w:bCs/>
                <w:sz w:val="20"/>
                <w:szCs w:val="20"/>
                <w:vertAlign w:val="subscript"/>
              </w:rPr>
              <w:t>5</w:t>
            </w:r>
            <w:r w:rsidRPr="00D534FD">
              <w:rPr>
                <w:b/>
                <w:bCs/>
                <w:sz w:val="20"/>
                <w:szCs w:val="20"/>
              </w:rPr>
              <w:t>P</w:t>
            </w:r>
            <w:r w:rsidRPr="00D534FD">
              <w:rPr>
                <w:b/>
                <w:bCs/>
                <w:sz w:val="20"/>
                <w:szCs w:val="20"/>
                <w:vertAlign w:val="subscript"/>
              </w:rPr>
              <w:t>3</w:t>
            </w:r>
            <w:r w:rsidRPr="00D534FD">
              <w:rPr>
                <w:b/>
                <w:bCs/>
                <w:sz w:val="20"/>
                <w:szCs w:val="20"/>
              </w:rPr>
              <w:t>O</w:t>
            </w:r>
            <w:r w:rsidRPr="00D534FD">
              <w:rPr>
                <w:b/>
                <w:bCs/>
                <w:sz w:val="20"/>
                <w:szCs w:val="20"/>
                <w:vertAlign w:val="subscript"/>
              </w:rPr>
              <w:t>10</w:t>
            </w:r>
            <w:r w:rsidRPr="00D534FD">
              <w:rPr>
                <w:b/>
                <w:bCs/>
                <w:sz w:val="20"/>
                <w:szCs w:val="20"/>
              </w:rPr>
              <w:t>: 6-10</w:t>
            </w:r>
          </w:p>
        </w:tc>
        <w:tc>
          <w:tcPr>
            <w:tcW w:w="3650" w:type="dxa"/>
            <w:tcBorders>
              <w:top w:val="single" w:sz="4" w:space="0" w:color="auto"/>
              <w:left w:val="single" w:sz="4" w:space="0" w:color="auto"/>
              <w:bottom w:val="double" w:sz="4" w:space="0" w:color="auto"/>
              <w:right w:val="double" w:sz="4" w:space="0" w:color="auto"/>
            </w:tcBorders>
          </w:tcPr>
          <w:p w:rsidR="00D534FD" w:rsidRPr="00D534FD" w:rsidRDefault="00D534FD" w:rsidP="00FD6884">
            <w:pPr>
              <w:pStyle w:val="BodyTextIndent"/>
              <w:tabs>
                <w:tab w:val="left" w:pos="720"/>
              </w:tabs>
              <w:ind w:left="0"/>
              <w:rPr>
                <w:b/>
                <w:bCs/>
                <w:sz w:val="20"/>
                <w:szCs w:val="20"/>
              </w:rPr>
            </w:pPr>
            <w:r w:rsidRPr="00D534FD">
              <w:rPr>
                <w:b/>
                <w:bCs/>
                <w:sz w:val="20"/>
                <w:szCs w:val="20"/>
              </w:rPr>
              <w:t>carboxymethil cellulose</w:t>
            </w:r>
            <w:r w:rsidRPr="00D534FD">
              <w:rPr>
                <w:sz w:val="20"/>
                <w:szCs w:val="20"/>
              </w:rPr>
              <w:t xml:space="preserve"> :</w:t>
            </w:r>
            <w:r w:rsidRPr="00D534FD">
              <w:rPr>
                <w:b/>
                <w:bCs/>
                <w:sz w:val="20"/>
                <w:szCs w:val="20"/>
              </w:rPr>
              <w:t>0,5-1</w:t>
            </w:r>
          </w:p>
        </w:tc>
      </w:tr>
    </w:tbl>
    <w:p w:rsidR="00D534FD" w:rsidRPr="00D534FD" w:rsidRDefault="00D534FD" w:rsidP="00FD6884">
      <w:pPr>
        <w:jc w:val="both"/>
        <w:rPr>
          <w:sz w:val="20"/>
          <w:szCs w:val="20"/>
        </w:rPr>
      </w:pPr>
    </w:p>
    <w:p w:rsidR="00D534FD" w:rsidRPr="00D534FD" w:rsidRDefault="00D534FD" w:rsidP="00FD6884">
      <w:pPr>
        <w:jc w:val="both"/>
        <w:rPr>
          <w:sz w:val="20"/>
          <w:szCs w:val="20"/>
        </w:rPr>
      </w:pPr>
      <w:r w:rsidRPr="00D534FD">
        <w:rPr>
          <w:sz w:val="20"/>
          <w:szCs w:val="20"/>
        </w:rPr>
        <w:t>Parameters of pattern polymer lining,20kg/m</w:t>
      </w:r>
      <w:r w:rsidRPr="00D534FD">
        <w:rPr>
          <w:sz w:val="20"/>
          <w:szCs w:val="20"/>
          <w:vertAlign w:val="superscript"/>
        </w:rPr>
        <w:t>3</w:t>
      </w:r>
      <w:r w:rsidRPr="00D534FD">
        <w:rPr>
          <w:sz w:val="20"/>
          <w:szCs w:val="20"/>
        </w:rPr>
        <w:t xml:space="preserve"> density:</w:t>
      </w:r>
    </w:p>
    <w:p w:rsidR="00D534FD" w:rsidRPr="00D534FD" w:rsidRDefault="00D534FD" w:rsidP="00FD6884">
      <w:pPr>
        <w:jc w:val="both"/>
        <w:rPr>
          <w:sz w:val="20"/>
          <w:szCs w:val="20"/>
        </w:rPr>
      </w:pPr>
      <w:r w:rsidRPr="00D534FD">
        <w:rPr>
          <w:sz w:val="20"/>
          <w:szCs w:val="20"/>
        </w:rPr>
        <w:t>- suspension density: 2g/cm</w:t>
      </w:r>
      <w:r w:rsidRPr="00D534FD">
        <w:rPr>
          <w:sz w:val="20"/>
          <w:szCs w:val="20"/>
          <w:vertAlign w:val="superscript"/>
        </w:rPr>
        <w:t>3</w:t>
      </w:r>
      <w:r w:rsidRPr="00D534FD">
        <w:rPr>
          <w:sz w:val="20"/>
          <w:szCs w:val="20"/>
        </w:rPr>
        <w:t>,</w:t>
      </w:r>
    </w:p>
    <w:p w:rsidR="00D534FD" w:rsidRPr="00D534FD" w:rsidRDefault="00D534FD" w:rsidP="00FD6884">
      <w:pPr>
        <w:jc w:val="both"/>
        <w:rPr>
          <w:sz w:val="20"/>
          <w:szCs w:val="20"/>
        </w:rPr>
      </w:pPr>
      <w:r w:rsidRPr="00D534FD">
        <w:rPr>
          <w:sz w:val="20"/>
          <w:szCs w:val="20"/>
        </w:rPr>
        <w:t xml:space="preserve">- temperature: 22 </w:t>
      </w:r>
      <w:r w:rsidRPr="00D534FD">
        <w:rPr>
          <w:sz w:val="20"/>
          <w:szCs w:val="20"/>
          <w:vertAlign w:val="superscript"/>
        </w:rPr>
        <w:t>o</w:t>
      </w:r>
      <w:r w:rsidRPr="00D534FD">
        <w:rPr>
          <w:sz w:val="20"/>
          <w:szCs w:val="20"/>
        </w:rPr>
        <w:t>C,</w:t>
      </w:r>
    </w:p>
    <w:p w:rsidR="00D534FD" w:rsidRPr="00D534FD" w:rsidRDefault="00D534FD" w:rsidP="00FD6884">
      <w:pPr>
        <w:jc w:val="both"/>
        <w:rPr>
          <w:sz w:val="20"/>
          <w:szCs w:val="20"/>
        </w:rPr>
      </w:pPr>
      <w:r w:rsidRPr="00D534FD">
        <w:rPr>
          <w:sz w:val="20"/>
          <w:szCs w:val="20"/>
        </w:rPr>
        <w:t>- slow suspension mixing during lining application to the pattern,at 10min.rate,</w:t>
      </w:r>
    </w:p>
    <w:p w:rsidR="00D534FD" w:rsidRPr="00D534FD" w:rsidRDefault="00D534FD" w:rsidP="00FD6884">
      <w:pPr>
        <w:jc w:val="both"/>
        <w:rPr>
          <w:sz w:val="20"/>
          <w:szCs w:val="20"/>
        </w:rPr>
      </w:pPr>
      <w:r w:rsidRPr="00D534FD">
        <w:rPr>
          <w:sz w:val="20"/>
          <w:szCs w:val="20"/>
        </w:rPr>
        <w:t>- layer thickness after drying: 0.2, 0,5 and 0,7  mm,</w:t>
      </w:r>
    </w:p>
    <w:p w:rsidR="00D534FD" w:rsidRPr="00D534FD" w:rsidRDefault="00D534FD" w:rsidP="00FD6884">
      <w:pPr>
        <w:jc w:val="both"/>
        <w:rPr>
          <w:sz w:val="20"/>
          <w:szCs w:val="20"/>
        </w:rPr>
      </w:pPr>
      <w:r w:rsidRPr="00D534FD">
        <w:rPr>
          <w:sz w:val="20"/>
          <w:szCs w:val="20"/>
        </w:rPr>
        <w:t>- lining technique:immersion,pouring, brush application,</w:t>
      </w:r>
    </w:p>
    <w:p w:rsidR="00D534FD" w:rsidRPr="00D534FD" w:rsidRDefault="00D534FD" w:rsidP="00FD6884">
      <w:pPr>
        <w:jc w:val="both"/>
        <w:rPr>
          <w:sz w:val="20"/>
          <w:szCs w:val="20"/>
        </w:rPr>
      </w:pPr>
      <w:r w:rsidRPr="00D534FD">
        <w:rPr>
          <w:sz w:val="20"/>
          <w:szCs w:val="20"/>
        </w:rPr>
        <w:t>- drying: first layer: 1.5</w:t>
      </w:r>
      <w:r w:rsidRPr="00D534FD">
        <w:rPr>
          <w:sz w:val="20"/>
          <w:szCs w:val="20"/>
          <w:vertAlign w:val="superscript"/>
        </w:rPr>
        <w:t>h</w:t>
      </w:r>
      <w:r w:rsidRPr="00D534FD">
        <w:rPr>
          <w:sz w:val="20"/>
          <w:szCs w:val="20"/>
        </w:rPr>
        <w:t>, final layers: 24</w:t>
      </w:r>
      <w:r w:rsidRPr="00D534FD">
        <w:rPr>
          <w:sz w:val="20"/>
          <w:szCs w:val="20"/>
          <w:vertAlign w:val="superscript"/>
        </w:rPr>
        <w:t>h</w:t>
      </w:r>
      <w:r w:rsidRPr="00D534FD">
        <w:rPr>
          <w:sz w:val="20"/>
          <w:szCs w:val="20"/>
        </w:rPr>
        <w:t xml:space="preserve"> in the air,</w:t>
      </w:r>
    </w:p>
    <w:p w:rsidR="00D534FD" w:rsidRPr="00FD6884" w:rsidRDefault="00D534FD" w:rsidP="00FD6884">
      <w:pPr>
        <w:pStyle w:val="BodyTextIndent"/>
        <w:tabs>
          <w:tab w:val="left" w:pos="720"/>
        </w:tabs>
        <w:ind w:left="0"/>
        <w:jc w:val="both"/>
        <w:rPr>
          <w:bCs/>
          <w:sz w:val="20"/>
          <w:szCs w:val="20"/>
        </w:rPr>
      </w:pPr>
    </w:p>
    <w:p w:rsidR="00D534FD" w:rsidRPr="00FD6884" w:rsidRDefault="00D534FD" w:rsidP="00FD6884">
      <w:pPr>
        <w:pStyle w:val="BodyTextIndent"/>
        <w:tabs>
          <w:tab w:val="left" w:pos="720"/>
        </w:tabs>
        <w:ind w:left="0"/>
        <w:jc w:val="both"/>
        <w:rPr>
          <w:bCs/>
          <w:sz w:val="20"/>
          <w:szCs w:val="20"/>
        </w:rPr>
      </w:pPr>
      <w:r w:rsidRPr="00FD6884">
        <w:rPr>
          <w:bCs/>
          <w:sz w:val="20"/>
          <w:szCs w:val="20"/>
        </w:rPr>
        <w:t xml:space="preserve">For valid evaluation of the Lost Foam process application, some parallel investigation on the samples obtained by sand casting (mark: </w:t>
      </w:r>
      <w:r w:rsidRPr="00FD6884">
        <w:rPr>
          <w:sz w:val="20"/>
          <w:szCs w:val="20"/>
        </w:rPr>
        <w:t>S</w:t>
      </w:r>
      <w:r w:rsidRPr="00FD6884">
        <w:rPr>
          <w:bCs/>
          <w:sz w:val="20"/>
          <w:szCs w:val="20"/>
        </w:rPr>
        <w:t>) were carried out.</w:t>
      </w:r>
      <w:r w:rsidRPr="00FD6884">
        <w:rPr>
          <w:bCs/>
          <w:sz w:val="20"/>
          <w:szCs w:val="20"/>
        </w:rPr>
        <w:tab/>
      </w:r>
    </w:p>
    <w:p w:rsidR="00D534FD" w:rsidRPr="00FD6884" w:rsidRDefault="00D534FD" w:rsidP="00FD6884">
      <w:pPr>
        <w:pStyle w:val="BodyTextIndent"/>
        <w:tabs>
          <w:tab w:val="left" w:pos="720"/>
        </w:tabs>
        <w:ind w:left="0"/>
        <w:jc w:val="both"/>
        <w:rPr>
          <w:bCs/>
          <w:sz w:val="20"/>
          <w:szCs w:val="20"/>
        </w:rPr>
      </w:pPr>
      <w:r w:rsidRPr="00FD6884">
        <w:rPr>
          <w:bCs/>
          <w:sz w:val="20"/>
          <w:szCs w:val="20"/>
        </w:rPr>
        <w:t>Structural and mechanical investigations were carried out on obtained samples. Ultrasonic EHO METHOD was used for establishment of possible failures.</w:t>
      </w:r>
    </w:p>
    <w:p w:rsidR="00FD6884" w:rsidRDefault="00FD6884" w:rsidP="00FD6884">
      <w:pPr>
        <w:pStyle w:val="BodyTextIndent"/>
        <w:tabs>
          <w:tab w:val="left" w:pos="720"/>
        </w:tabs>
        <w:jc w:val="both"/>
        <w:rPr>
          <w:b/>
          <w:bCs/>
          <w:sz w:val="20"/>
          <w:szCs w:val="20"/>
        </w:rPr>
      </w:pPr>
    </w:p>
    <w:p w:rsidR="00D534FD" w:rsidRPr="00D534FD" w:rsidRDefault="00D534FD" w:rsidP="00FD6884">
      <w:pPr>
        <w:pStyle w:val="BodyTextIndent"/>
        <w:tabs>
          <w:tab w:val="left" w:pos="720"/>
        </w:tabs>
        <w:jc w:val="both"/>
        <w:rPr>
          <w:b/>
          <w:bCs/>
          <w:sz w:val="20"/>
          <w:szCs w:val="20"/>
        </w:rPr>
      </w:pPr>
      <w:r w:rsidRPr="00D534FD">
        <w:rPr>
          <w:b/>
          <w:bCs/>
          <w:sz w:val="20"/>
          <w:szCs w:val="20"/>
        </w:rPr>
        <w:tab/>
      </w:r>
    </w:p>
    <w:p w:rsidR="00D534FD" w:rsidRPr="00FD6884" w:rsidRDefault="00FD6884" w:rsidP="00FD6884">
      <w:pPr>
        <w:pStyle w:val="BodyTextIndent"/>
        <w:tabs>
          <w:tab w:val="left" w:pos="720"/>
        </w:tabs>
        <w:jc w:val="both"/>
        <w:rPr>
          <w:b/>
          <w:sz w:val="22"/>
          <w:szCs w:val="22"/>
        </w:rPr>
      </w:pPr>
      <w:r w:rsidRPr="00FD6884">
        <w:rPr>
          <w:b/>
          <w:sz w:val="22"/>
          <w:szCs w:val="22"/>
        </w:rPr>
        <w:t xml:space="preserve">3. </w:t>
      </w:r>
      <w:r w:rsidR="00D534FD" w:rsidRPr="00FD6884">
        <w:rPr>
          <w:b/>
          <w:sz w:val="22"/>
          <w:szCs w:val="22"/>
        </w:rPr>
        <w:t>RESULTS AND DISCUSSION</w:t>
      </w:r>
    </w:p>
    <w:p w:rsidR="00D534FD" w:rsidRPr="00D534FD" w:rsidRDefault="00D534FD" w:rsidP="00FD6884">
      <w:pPr>
        <w:pStyle w:val="BodyTextIndent"/>
        <w:tabs>
          <w:tab w:val="left" w:pos="720"/>
        </w:tabs>
        <w:jc w:val="both"/>
        <w:rPr>
          <w:sz w:val="20"/>
          <w:szCs w:val="20"/>
        </w:rPr>
      </w:pPr>
    </w:p>
    <w:p w:rsidR="00D534FD" w:rsidRPr="00D534FD" w:rsidRDefault="00D534FD" w:rsidP="00FD6884">
      <w:pPr>
        <w:jc w:val="both"/>
        <w:rPr>
          <w:sz w:val="20"/>
          <w:szCs w:val="20"/>
        </w:rPr>
      </w:pPr>
      <w:r w:rsidRPr="00D534FD">
        <w:rPr>
          <w:sz w:val="20"/>
          <w:szCs w:val="20"/>
        </w:rPr>
        <w:t>After casting AlSi10Mg alloy,and shaking the castings out of  moulds,it was found that the castings were accurate copies of the pattern. There were neither piercing of ceramic lining,metal penetration into  sand, norsand sintering.Casting surfaces were bright and clean so that no machining was necessary. Results of structural and mechanical investigations show that within boundaries predicted by the standard fort his type of the alloy, it could be seen that there are no basic differences in values of mechanical properties between samples cast with coating based on cordierite and the samples cast with coating based on talc,  showing that cordierite, as fire resistant loader, can successfully replace talc in manifacture of aluminium parts.</w:t>
      </w:r>
    </w:p>
    <w:p w:rsidR="00D534FD" w:rsidRPr="00D534FD" w:rsidRDefault="00D534FD" w:rsidP="00FD6884">
      <w:pPr>
        <w:pStyle w:val="BodyTextIndent"/>
        <w:tabs>
          <w:tab w:val="left" w:pos="-2552"/>
        </w:tabs>
        <w:ind w:left="0"/>
        <w:jc w:val="both"/>
        <w:rPr>
          <w:b/>
          <w:iCs/>
          <w:color w:val="000000"/>
          <w:sz w:val="20"/>
          <w:szCs w:val="20"/>
        </w:rPr>
      </w:pPr>
    </w:p>
    <w:p w:rsidR="00D534FD" w:rsidRPr="00FD6884" w:rsidRDefault="00D534FD" w:rsidP="00FD6884">
      <w:pPr>
        <w:pStyle w:val="BodyTextIndent"/>
        <w:tabs>
          <w:tab w:val="left" w:pos="-2552"/>
        </w:tabs>
        <w:ind w:left="0"/>
        <w:jc w:val="both"/>
        <w:rPr>
          <w:iCs/>
          <w:color w:val="000000"/>
          <w:sz w:val="20"/>
          <w:szCs w:val="20"/>
        </w:rPr>
      </w:pPr>
      <w:r w:rsidRPr="00FD6884">
        <w:rPr>
          <w:iCs/>
          <w:color w:val="000000"/>
          <w:sz w:val="20"/>
          <w:szCs w:val="20"/>
        </w:rPr>
        <w:t xml:space="preserve">Figure 1. shows the dependence of mechanical properties on the thickness of coating layer based on cordierite and talc. At the same time, a slight decrease of  </w:t>
      </w:r>
      <w:r w:rsidRPr="00FD6884">
        <w:rPr>
          <w:bCs/>
          <w:iCs/>
          <w:color w:val="000000"/>
          <w:sz w:val="20"/>
          <w:szCs w:val="20"/>
        </w:rPr>
        <w:t xml:space="preserve">S  </w:t>
      </w:r>
      <w:r w:rsidRPr="00FD6884">
        <w:rPr>
          <w:iCs/>
          <w:color w:val="000000"/>
          <w:sz w:val="20"/>
          <w:szCs w:val="20"/>
        </w:rPr>
        <w:t xml:space="preserve">sample properties could be noticed (fig.2). It is caused by the presence of corrosion in castings, which is characteristic for the Lost Foam process. </w:t>
      </w:r>
    </w:p>
    <w:p w:rsidR="00D534FD" w:rsidRPr="00D534FD" w:rsidRDefault="00D534FD" w:rsidP="00FD6884">
      <w:pPr>
        <w:pStyle w:val="BodyTextIndent"/>
        <w:tabs>
          <w:tab w:val="left" w:pos="-2552"/>
        </w:tabs>
        <w:ind w:left="0"/>
        <w:jc w:val="both"/>
        <w:rPr>
          <w:b/>
          <w:i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3"/>
        <w:gridCol w:w="257"/>
        <w:gridCol w:w="4418"/>
      </w:tblGrid>
      <w:tr w:rsidR="00D534FD" w:rsidRPr="00D534FD">
        <w:tc>
          <w:tcPr>
            <w:tcW w:w="4783" w:type="dxa"/>
            <w:tcBorders>
              <w:top w:val="single" w:sz="4" w:space="0" w:color="auto"/>
              <w:bottom w:val="nil"/>
              <w:right w:val="nil"/>
            </w:tcBorders>
          </w:tcPr>
          <w:p w:rsidR="00D534FD" w:rsidRPr="00D534FD" w:rsidRDefault="006A7E5A" w:rsidP="00FD6884">
            <w:pPr>
              <w:pStyle w:val="BodyTextIndent"/>
              <w:tabs>
                <w:tab w:val="left" w:pos="-2552"/>
              </w:tabs>
              <w:ind w:left="0"/>
              <w:jc w:val="both"/>
              <w:rPr>
                <w:b/>
                <w:iCs/>
                <w:color w:val="000000"/>
                <w:sz w:val="20"/>
                <w:szCs w:val="20"/>
              </w:rPr>
            </w:pPr>
            <w:r>
              <w:rPr>
                <w:bCs/>
                <w:i/>
                <w:iCs/>
                <w:noProof/>
                <w:color w:val="000000"/>
                <w:sz w:val="20"/>
                <w:szCs w:val="20"/>
              </w:rPr>
              <w:drawing>
                <wp:inline distT="0" distB="0" distL="0" distR="0">
                  <wp:extent cx="2847975" cy="1790700"/>
                  <wp:effectExtent l="19050" t="0" r="9525" b="0"/>
                  <wp:docPr id="1" name="Picture 1" descr="GRAFIKO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02"/>
                          <pic:cNvPicPr>
                            <a:picLocks noChangeAspect="1" noChangeArrowheads="1"/>
                          </pic:cNvPicPr>
                        </pic:nvPicPr>
                        <pic:blipFill>
                          <a:blip r:embed="rId7" cstate="print"/>
                          <a:srcRect/>
                          <a:stretch>
                            <a:fillRect/>
                          </a:stretch>
                        </pic:blipFill>
                        <pic:spPr bwMode="auto">
                          <a:xfrm>
                            <a:off x="0" y="0"/>
                            <a:ext cx="2847975" cy="1790700"/>
                          </a:xfrm>
                          <a:prstGeom prst="rect">
                            <a:avLst/>
                          </a:prstGeom>
                          <a:noFill/>
                          <a:ln w="9525">
                            <a:noFill/>
                            <a:miter lim="800000"/>
                            <a:headEnd/>
                            <a:tailEnd/>
                          </a:ln>
                        </pic:spPr>
                      </pic:pic>
                    </a:graphicData>
                  </a:graphic>
                </wp:inline>
              </w:drawing>
            </w:r>
          </w:p>
        </w:tc>
        <w:tc>
          <w:tcPr>
            <w:tcW w:w="257" w:type="dxa"/>
            <w:tcBorders>
              <w:top w:val="single" w:sz="4" w:space="0" w:color="auto"/>
              <w:left w:val="nil"/>
              <w:bottom w:val="nil"/>
              <w:right w:val="nil"/>
            </w:tcBorders>
          </w:tcPr>
          <w:p w:rsidR="00D534FD" w:rsidRPr="00D534FD" w:rsidRDefault="00D534FD" w:rsidP="00FD6884">
            <w:pPr>
              <w:pStyle w:val="BodyTextIndent"/>
              <w:tabs>
                <w:tab w:val="left" w:pos="-2552"/>
              </w:tabs>
              <w:ind w:left="0"/>
              <w:jc w:val="both"/>
              <w:rPr>
                <w:b/>
                <w:iCs/>
                <w:color w:val="000000"/>
                <w:sz w:val="20"/>
                <w:szCs w:val="20"/>
              </w:rPr>
            </w:pPr>
          </w:p>
        </w:tc>
        <w:tc>
          <w:tcPr>
            <w:tcW w:w="4418" w:type="dxa"/>
            <w:tcBorders>
              <w:top w:val="single" w:sz="4" w:space="0" w:color="auto"/>
              <w:left w:val="nil"/>
              <w:bottom w:val="nil"/>
            </w:tcBorders>
          </w:tcPr>
          <w:p w:rsidR="00D534FD" w:rsidRPr="00D534FD" w:rsidRDefault="006A7E5A" w:rsidP="00FD6884">
            <w:pPr>
              <w:pStyle w:val="BodyTextIndent"/>
              <w:tabs>
                <w:tab w:val="left" w:pos="-2552"/>
              </w:tabs>
              <w:ind w:left="0"/>
              <w:jc w:val="both"/>
              <w:rPr>
                <w:b/>
                <w:iCs/>
                <w:color w:val="000000"/>
                <w:sz w:val="20"/>
                <w:szCs w:val="20"/>
              </w:rPr>
            </w:pPr>
            <w:r>
              <w:rPr>
                <w:bCs/>
                <w:i/>
                <w:iCs/>
                <w:noProof/>
                <w:color w:val="000000"/>
                <w:sz w:val="20"/>
                <w:szCs w:val="20"/>
              </w:rPr>
              <w:drawing>
                <wp:inline distT="0" distB="0" distL="0" distR="0">
                  <wp:extent cx="2619375" cy="1676400"/>
                  <wp:effectExtent l="19050" t="0" r="9525" b="0"/>
                  <wp:docPr id="2" name="Picture 2" descr="GRAFIKO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KON 04"/>
                          <pic:cNvPicPr>
                            <a:picLocks noChangeAspect="1" noChangeArrowheads="1"/>
                          </pic:cNvPicPr>
                        </pic:nvPicPr>
                        <pic:blipFill>
                          <a:blip r:embed="rId8" cstate="print"/>
                          <a:srcRect/>
                          <a:stretch>
                            <a:fillRect/>
                          </a:stretch>
                        </pic:blipFill>
                        <pic:spPr bwMode="auto">
                          <a:xfrm>
                            <a:off x="0" y="0"/>
                            <a:ext cx="2619375" cy="1676400"/>
                          </a:xfrm>
                          <a:prstGeom prst="rect">
                            <a:avLst/>
                          </a:prstGeom>
                          <a:noFill/>
                          <a:ln w="9525">
                            <a:noFill/>
                            <a:miter lim="800000"/>
                            <a:headEnd/>
                            <a:tailEnd/>
                          </a:ln>
                        </pic:spPr>
                      </pic:pic>
                    </a:graphicData>
                  </a:graphic>
                </wp:inline>
              </w:drawing>
            </w:r>
          </w:p>
        </w:tc>
      </w:tr>
      <w:tr w:rsidR="00D534FD" w:rsidRPr="00D534FD">
        <w:tc>
          <w:tcPr>
            <w:tcW w:w="4783" w:type="dxa"/>
            <w:tcBorders>
              <w:top w:val="nil"/>
              <w:right w:val="nil"/>
            </w:tcBorders>
          </w:tcPr>
          <w:p w:rsidR="00D534FD" w:rsidRPr="00D534FD" w:rsidRDefault="00D534FD" w:rsidP="00FD6884">
            <w:pPr>
              <w:pStyle w:val="BodyTextIndent"/>
              <w:tabs>
                <w:tab w:val="left" w:pos="-2552"/>
              </w:tabs>
              <w:ind w:left="0"/>
              <w:jc w:val="center"/>
              <w:rPr>
                <w:b/>
                <w:iCs/>
                <w:color w:val="000000"/>
                <w:sz w:val="20"/>
                <w:szCs w:val="20"/>
              </w:rPr>
            </w:pPr>
            <w:r w:rsidRPr="00D534FD">
              <w:rPr>
                <w:bCs/>
                <w:i/>
                <w:color w:val="000000"/>
                <w:sz w:val="20"/>
                <w:szCs w:val="20"/>
              </w:rPr>
              <w:t>sample T</w:t>
            </w:r>
          </w:p>
        </w:tc>
        <w:tc>
          <w:tcPr>
            <w:tcW w:w="257" w:type="dxa"/>
            <w:tcBorders>
              <w:top w:val="nil"/>
              <w:left w:val="nil"/>
              <w:bottom w:val="single" w:sz="4" w:space="0" w:color="auto"/>
              <w:right w:val="nil"/>
            </w:tcBorders>
          </w:tcPr>
          <w:p w:rsidR="00D534FD" w:rsidRPr="00D534FD" w:rsidRDefault="00D534FD" w:rsidP="00FD6884">
            <w:pPr>
              <w:pStyle w:val="BodyTextIndent"/>
              <w:tabs>
                <w:tab w:val="left" w:pos="-2552"/>
              </w:tabs>
              <w:ind w:left="0"/>
              <w:jc w:val="center"/>
              <w:rPr>
                <w:b/>
                <w:iCs/>
                <w:color w:val="000000"/>
                <w:sz w:val="20"/>
                <w:szCs w:val="20"/>
              </w:rPr>
            </w:pPr>
          </w:p>
        </w:tc>
        <w:tc>
          <w:tcPr>
            <w:tcW w:w="4418" w:type="dxa"/>
            <w:tcBorders>
              <w:top w:val="nil"/>
              <w:left w:val="nil"/>
            </w:tcBorders>
          </w:tcPr>
          <w:p w:rsidR="00D534FD" w:rsidRPr="00D534FD" w:rsidRDefault="00D534FD" w:rsidP="00FD6884">
            <w:pPr>
              <w:pStyle w:val="BodyTextIndent"/>
              <w:tabs>
                <w:tab w:val="left" w:pos="-2552"/>
              </w:tabs>
              <w:ind w:left="0"/>
              <w:jc w:val="center"/>
              <w:rPr>
                <w:b/>
                <w:iCs/>
                <w:color w:val="000000"/>
                <w:sz w:val="20"/>
                <w:szCs w:val="20"/>
              </w:rPr>
            </w:pPr>
            <w:r w:rsidRPr="00D534FD">
              <w:rPr>
                <w:bCs/>
                <w:i/>
                <w:color w:val="000000"/>
                <w:sz w:val="20"/>
                <w:szCs w:val="20"/>
              </w:rPr>
              <w:t>sample C</w:t>
            </w:r>
          </w:p>
        </w:tc>
      </w:tr>
      <w:tr w:rsidR="00D534FD" w:rsidRPr="00D534FD">
        <w:tc>
          <w:tcPr>
            <w:tcW w:w="9458" w:type="dxa"/>
            <w:gridSpan w:val="3"/>
          </w:tcPr>
          <w:p w:rsidR="00D534FD" w:rsidRPr="00B26DBD" w:rsidRDefault="00D534FD" w:rsidP="00FD6884">
            <w:pPr>
              <w:pStyle w:val="BodyTextIndent"/>
              <w:tabs>
                <w:tab w:val="left" w:pos="-2552"/>
              </w:tabs>
              <w:ind w:left="0"/>
              <w:jc w:val="center"/>
              <w:rPr>
                <w:b/>
                <w:iCs/>
                <w:color w:val="000000"/>
                <w:sz w:val="20"/>
                <w:szCs w:val="20"/>
              </w:rPr>
            </w:pPr>
            <w:r w:rsidRPr="00B26DBD">
              <w:rPr>
                <w:b/>
                <w:bCs/>
                <w:color w:val="000000"/>
                <w:sz w:val="20"/>
                <w:szCs w:val="20"/>
              </w:rPr>
              <w:t>Figure 1</w:t>
            </w:r>
            <w:r w:rsidR="00B26DBD">
              <w:rPr>
                <w:bCs/>
                <w:color w:val="000000"/>
                <w:sz w:val="20"/>
                <w:szCs w:val="20"/>
              </w:rPr>
              <w:t>:</w:t>
            </w:r>
            <w:r w:rsidRPr="00B26DBD">
              <w:rPr>
                <w:bCs/>
                <w:color w:val="000000"/>
                <w:sz w:val="20"/>
                <w:szCs w:val="20"/>
              </w:rPr>
              <w:t xml:space="preserve"> Mechanical characteristics</w:t>
            </w:r>
          </w:p>
        </w:tc>
      </w:tr>
    </w:tbl>
    <w:p w:rsidR="00D534FD" w:rsidRPr="00D534FD" w:rsidRDefault="00D534FD" w:rsidP="00FD6884">
      <w:pPr>
        <w:pStyle w:val="BodyTextIndent"/>
        <w:tabs>
          <w:tab w:val="left" w:pos="-2552"/>
        </w:tabs>
        <w:ind w:left="0"/>
        <w:jc w:val="both"/>
        <w:rPr>
          <w:b/>
          <w:iCs/>
          <w:color w:val="000000"/>
          <w:sz w:val="20"/>
          <w:szCs w:val="20"/>
        </w:rPr>
      </w:pPr>
    </w:p>
    <w:p w:rsidR="00D534FD" w:rsidRPr="00D534FD" w:rsidRDefault="00D534FD" w:rsidP="00FD6884">
      <w:pPr>
        <w:pStyle w:val="BodyTextIndent"/>
        <w:tabs>
          <w:tab w:val="left" w:pos="-2552"/>
        </w:tabs>
        <w:ind w:left="0"/>
        <w:jc w:val="both"/>
        <w:rPr>
          <w:b/>
          <w:iCs/>
          <w:color w:val="000000"/>
          <w:sz w:val="20"/>
          <w:szCs w:val="20"/>
        </w:rPr>
      </w:pPr>
    </w:p>
    <w:p w:rsidR="00D534FD" w:rsidRPr="00D534FD" w:rsidRDefault="006A7E5A" w:rsidP="00FD6884">
      <w:pPr>
        <w:pStyle w:val="BodyTextIndent"/>
        <w:tabs>
          <w:tab w:val="left" w:pos="-2552"/>
        </w:tabs>
        <w:ind w:left="0"/>
        <w:jc w:val="center"/>
        <w:rPr>
          <w:bCs/>
          <w:i/>
          <w:color w:val="000000"/>
          <w:sz w:val="20"/>
          <w:szCs w:val="20"/>
        </w:rPr>
      </w:pPr>
      <w:r>
        <w:rPr>
          <w:bCs/>
          <w:noProof/>
          <w:color w:val="000000"/>
          <w:sz w:val="20"/>
          <w:szCs w:val="20"/>
        </w:rPr>
        <w:drawing>
          <wp:inline distT="0" distB="0" distL="0" distR="0">
            <wp:extent cx="3686175" cy="2162175"/>
            <wp:effectExtent l="19050" t="0" r="9525" b="0"/>
            <wp:docPr id="3" name="Picture 3" descr="GRAFIK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KON 05"/>
                    <pic:cNvPicPr>
                      <a:picLocks noChangeAspect="1" noChangeArrowheads="1"/>
                    </pic:cNvPicPr>
                  </pic:nvPicPr>
                  <pic:blipFill>
                    <a:blip r:embed="rId9"/>
                    <a:srcRect/>
                    <a:stretch>
                      <a:fillRect/>
                    </a:stretch>
                  </pic:blipFill>
                  <pic:spPr bwMode="auto">
                    <a:xfrm>
                      <a:off x="0" y="0"/>
                      <a:ext cx="3686175" cy="2162175"/>
                    </a:xfrm>
                    <a:prstGeom prst="rect">
                      <a:avLst/>
                    </a:prstGeom>
                    <a:noFill/>
                    <a:ln w="9525">
                      <a:noFill/>
                      <a:miter lim="800000"/>
                      <a:headEnd/>
                      <a:tailEnd/>
                    </a:ln>
                  </pic:spPr>
                </pic:pic>
              </a:graphicData>
            </a:graphic>
          </wp:inline>
        </w:drawing>
      </w:r>
    </w:p>
    <w:p w:rsidR="00D534FD" w:rsidRPr="00B26DBD" w:rsidRDefault="00D534FD" w:rsidP="00FD6884">
      <w:pPr>
        <w:pStyle w:val="BodyTextIndent"/>
        <w:tabs>
          <w:tab w:val="left" w:pos="-2552"/>
        </w:tabs>
        <w:ind w:left="0"/>
        <w:jc w:val="center"/>
        <w:rPr>
          <w:bCs/>
          <w:color w:val="000000"/>
          <w:sz w:val="20"/>
          <w:szCs w:val="20"/>
        </w:rPr>
      </w:pPr>
      <w:r w:rsidRPr="00B26DBD">
        <w:rPr>
          <w:b/>
          <w:color w:val="000000"/>
          <w:sz w:val="20"/>
          <w:szCs w:val="20"/>
        </w:rPr>
        <w:t>Figure</w:t>
      </w:r>
      <w:r w:rsidR="00A9646F">
        <w:rPr>
          <w:b/>
          <w:color w:val="000000"/>
          <w:sz w:val="20"/>
          <w:szCs w:val="20"/>
        </w:rPr>
        <w:t xml:space="preserve"> </w:t>
      </w:r>
      <w:r w:rsidRPr="00B26DBD">
        <w:rPr>
          <w:b/>
          <w:color w:val="000000"/>
          <w:sz w:val="20"/>
          <w:szCs w:val="20"/>
        </w:rPr>
        <w:t>2</w:t>
      </w:r>
      <w:r w:rsidR="00B26DBD">
        <w:rPr>
          <w:color w:val="000000"/>
          <w:sz w:val="20"/>
          <w:szCs w:val="20"/>
        </w:rPr>
        <w:t xml:space="preserve">: </w:t>
      </w:r>
      <w:r w:rsidRPr="00B26DBD">
        <w:rPr>
          <w:color w:val="000000"/>
          <w:sz w:val="20"/>
          <w:szCs w:val="20"/>
        </w:rPr>
        <w:t xml:space="preserve"> Mechanical characteristics of sample S</w:t>
      </w:r>
    </w:p>
    <w:p w:rsidR="00D534FD" w:rsidRPr="00D534FD" w:rsidRDefault="00D534FD" w:rsidP="00FD6884">
      <w:pPr>
        <w:pStyle w:val="BodyTextIndent"/>
        <w:tabs>
          <w:tab w:val="left" w:pos="-2552"/>
        </w:tabs>
        <w:ind w:left="0"/>
        <w:jc w:val="both"/>
        <w:rPr>
          <w:bCs/>
          <w:iCs/>
          <w:color w:val="000000"/>
          <w:sz w:val="20"/>
          <w:szCs w:val="20"/>
        </w:rPr>
      </w:pPr>
    </w:p>
    <w:p w:rsidR="00D534FD" w:rsidRPr="00FD6884" w:rsidRDefault="00D534FD" w:rsidP="00FD6884">
      <w:pPr>
        <w:pStyle w:val="BodyTextIndent"/>
        <w:tabs>
          <w:tab w:val="left" w:pos="-2552"/>
        </w:tabs>
        <w:ind w:left="0"/>
        <w:jc w:val="both"/>
        <w:rPr>
          <w:bCs/>
          <w:spacing w:val="-6"/>
          <w:sz w:val="20"/>
          <w:szCs w:val="20"/>
        </w:rPr>
      </w:pPr>
      <w:r w:rsidRPr="00FD6884">
        <w:rPr>
          <w:bCs/>
          <w:sz w:val="20"/>
          <w:szCs w:val="20"/>
        </w:rPr>
        <w:t xml:space="preserve">Ticker coating layers influence the slight decrease of mechanical properties, which is explained by decreased porosity due to lesser permeability of the coating. </w:t>
      </w:r>
      <w:r w:rsidRPr="00FD6884">
        <w:rPr>
          <w:bCs/>
          <w:spacing w:val="-6"/>
          <w:sz w:val="20"/>
          <w:szCs w:val="20"/>
        </w:rPr>
        <w:t>Ultrasonic testing, with thick coating samples, showed the presence of porosity over the whole sample volume.In the bottom part of the sample, porosity was slightly lower. The coating thickness of  0,7 mm affects reduced gas permeabilty.</w:t>
      </w:r>
    </w:p>
    <w:p w:rsidR="00D534FD" w:rsidRPr="00D534FD" w:rsidRDefault="00D534FD" w:rsidP="00FD6884">
      <w:pPr>
        <w:jc w:val="both"/>
        <w:rPr>
          <w:spacing w:val="-6"/>
          <w:sz w:val="20"/>
          <w:szCs w:val="20"/>
        </w:rPr>
      </w:pPr>
    </w:p>
    <w:p w:rsidR="00D534FD" w:rsidRPr="00D534FD" w:rsidRDefault="00D534FD" w:rsidP="00FD6884">
      <w:pPr>
        <w:jc w:val="both"/>
        <w:rPr>
          <w:spacing w:val="-6"/>
          <w:sz w:val="20"/>
          <w:szCs w:val="20"/>
        </w:rPr>
      </w:pPr>
      <w:r w:rsidRPr="00D534FD">
        <w:rPr>
          <w:spacing w:val="-6"/>
          <w:sz w:val="20"/>
          <w:szCs w:val="20"/>
        </w:rPr>
        <w:t>The microstructure of tested  samples consists of a-solid solution and multicomponent eutectic in which intermetallic phases, based on AL,Fe,Mn,Si, are separated. The structure is dendritic-cellular over the whole section, in such a way that, in the surface zone, dendritic cells and interdendritically separated phases are finer than those in the  central zone, which is a direct  effect of cooling rate.The samples produced  by casting with cordierite-based coating, show coarser structure, compred with those produced by casting with talc-based coating, which is the result of higher insulation effect of the coating (Figure 3. and 4.). Further  research in this field should be directed to studying modification process in order to moderate the insulating effect of ceramic lining,  which  causes grain growth in the structure.</w:t>
      </w:r>
    </w:p>
    <w:p w:rsidR="00D534FD" w:rsidRPr="00D534FD" w:rsidRDefault="00D534FD" w:rsidP="00FD6884">
      <w:pPr>
        <w:jc w:val="both"/>
        <w:rPr>
          <w:spacing w:val="-6"/>
          <w:sz w:val="20"/>
          <w:szCs w:val="20"/>
        </w:rPr>
      </w:pPr>
    </w:p>
    <w:p w:rsidR="00D534FD" w:rsidRPr="00D534FD" w:rsidRDefault="00D534FD" w:rsidP="00FD6884">
      <w:pPr>
        <w:jc w:val="both"/>
        <w:rPr>
          <w:spacing w:val="-6"/>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35"/>
        <w:gridCol w:w="748"/>
        <w:gridCol w:w="4488"/>
      </w:tblGrid>
      <w:tr w:rsidR="00D534FD" w:rsidRPr="00D534FD">
        <w:tc>
          <w:tcPr>
            <w:tcW w:w="4035" w:type="dxa"/>
            <w:tcBorders>
              <w:bottom w:val="nil"/>
            </w:tcBorders>
          </w:tcPr>
          <w:p w:rsidR="00D534FD" w:rsidRPr="00D534FD" w:rsidRDefault="006A7E5A" w:rsidP="00B26DBD">
            <w:pPr>
              <w:jc w:val="center"/>
              <w:rPr>
                <w:spacing w:val="-6"/>
                <w:sz w:val="20"/>
                <w:szCs w:val="20"/>
              </w:rPr>
            </w:pPr>
            <w:r>
              <w:rPr>
                <w:noProof/>
                <w:sz w:val="20"/>
                <w:szCs w:val="20"/>
              </w:rPr>
              <w:drawing>
                <wp:inline distT="0" distB="0" distL="0" distR="0">
                  <wp:extent cx="2247900" cy="1476375"/>
                  <wp:effectExtent l="19050" t="0" r="0" b="0"/>
                  <wp:docPr id="4" name="Picture 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
                          <pic:cNvPicPr>
                            <a:picLocks noChangeAspect="1" noChangeArrowheads="1"/>
                          </pic:cNvPicPr>
                        </pic:nvPicPr>
                        <pic:blipFill>
                          <a:blip r:embed="rId10" cstate="print"/>
                          <a:srcRect/>
                          <a:stretch>
                            <a:fillRect/>
                          </a:stretch>
                        </pic:blipFill>
                        <pic:spPr bwMode="auto">
                          <a:xfrm>
                            <a:off x="0" y="0"/>
                            <a:ext cx="2247900" cy="1476375"/>
                          </a:xfrm>
                          <a:prstGeom prst="rect">
                            <a:avLst/>
                          </a:prstGeom>
                          <a:noFill/>
                          <a:ln w="9525">
                            <a:noFill/>
                            <a:miter lim="800000"/>
                            <a:headEnd/>
                            <a:tailEnd/>
                          </a:ln>
                        </pic:spPr>
                      </pic:pic>
                    </a:graphicData>
                  </a:graphic>
                </wp:inline>
              </w:drawing>
            </w:r>
          </w:p>
        </w:tc>
        <w:tc>
          <w:tcPr>
            <w:tcW w:w="748" w:type="dxa"/>
            <w:tcBorders>
              <w:top w:val="nil"/>
              <w:bottom w:val="nil"/>
            </w:tcBorders>
          </w:tcPr>
          <w:p w:rsidR="00D534FD" w:rsidRPr="00D534FD" w:rsidRDefault="00D534FD" w:rsidP="00B26DBD">
            <w:pPr>
              <w:jc w:val="center"/>
              <w:rPr>
                <w:spacing w:val="-6"/>
                <w:sz w:val="20"/>
                <w:szCs w:val="20"/>
              </w:rPr>
            </w:pPr>
          </w:p>
        </w:tc>
        <w:tc>
          <w:tcPr>
            <w:tcW w:w="4488" w:type="dxa"/>
            <w:tcBorders>
              <w:bottom w:val="nil"/>
            </w:tcBorders>
          </w:tcPr>
          <w:p w:rsidR="00D534FD" w:rsidRPr="00D534FD" w:rsidRDefault="006A7E5A" w:rsidP="00B26DBD">
            <w:pPr>
              <w:jc w:val="center"/>
              <w:rPr>
                <w:spacing w:val="-6"/>
                <w:sz w:val="20"/>
                <w:szCs w:val="20"/>
              </w:rPr>
            </w:pPr>
            <w:r>
              <w:rPr>
                <w:noProof/>
                <w:sz w:val="20"/>
                <w:szCs w:val="20"/>
              </w:rPr>
              <w:drawing>
                <wp:inline distT="0" distB="0" distL="0" distR="0">
                  <wp:extent cx="2905125" cy="1485900"/>
                  <wp:effectExtent l="19050" t="0" r="9525" b="0"/>
                  <wp:docPr id="5" name="Picture 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
                          <pic:cNvPicPr>
                            <a:picLocks noChangeAspect="1" noChangeArrowheads="1"/>
                          </pic:cNvPicPr>
                        </pic:nvPicPr>
                        <pic:blipFill>
                          <a:blip r:embed="rId11" cstate="print"/>
                          <a:srcRect/>
                          <a:stretch>
                            <a:fillRect/>
                          </a:stretch>
                        </pic:blipFill>
                        <pic:spPr bwMode="auto">
                          <a:xfrm>
                            <a:off x="0" y="0"/>
                            <a:ext cx="2905125" cy="1485900"/>
                          </a:xfrm>
                          <a:prstGeom prst="rect">
                            <a:avLst/>
                          </a:prstGeom>
                          <a:noFill/>
                          <a:ln w="9525">
                            <a:noFill/>
                            <a:miter lim="800000"/>
                            <a:headEnd/>
                            <a:tailEnd/>
                          </a:ln>
                        </pic:spPr>
                      </pic:pic>
                    </a:graphicData>
                  </a:graphic>
                </wp:inline>
              </w:drawing>
            </w:r>
          </w:p>
        </w:tc>
      </w:tr>
      <w:tr w:rsidR="00D534FD" w:rsidRPr="00D534FD">
        <w:tc>
          <w:tcPr>
            <w:tcW w:w="4035" w:type="dxa"/>
            <w:tcBorders>
              <w:top w:val="nil"/>
              <w:bottom w:val="single" w:sz="4" w:space="0" w:color="auto"/>
            </w:tcBorders>
          </w:tcPr>
          <w:p w:rsidR="00D534FD" w:rsidRPr="00D534FD" w:rsidRDefault="00D534FD" w:rsidP="00B26DBD">
            <w:pPr>
              <w:jc w:val="center"/>
              <w:rPr>
                <w:spacing w:val="-6"/>
                <w:sz w:val="20"/>
                <w:szCs w:val="20"/>
              </w:rPr>
            </w:pPr>
            <w:r w:rsidRPr="00D534FD">
              <w:rPr>
                <w:iCs/>
                <w:sz w:val="20"/>
                <w:szCs w:val="20"/>
              </w:rPr>
              <w:t>Microstructure of casting series T</w:t>
            </w:r>
          </w:p>
        </w:tc>
        <w:tc>
          <w:tcPr>
            <w:tcW w:w="748" w:type="dxa"/>
            <w:tcBorders>
              <w:top w:val="nil"/>
              <w:bottom w:val="nil"/>
            </w:tcBorders>
          </w:tcPr>
          <w:p w:rsidR="00D534FD" w:rsidRPr="00D534FD" w:rsidRDefault="00D534FD" w:rsidP="00B26DBD">
            <w:pPr>
              <w:jc w:val="center"/>
              <w:rPr>
                <w:spacing w:val="-6"/>
                <w:sz w:val="20"/>
                <w:szCs w:val="20"/>
              </w:rPr>
            </w:pPr>
          </w:p>
        </w:tc>
        <w:tc>
          <w:tcPr>
            <w:tcW w:w="4488" w:type="dxa"/>
            <w:tcBorders>
              <w:top w:val="nil"/>
              <w:bottom w:val="single" w:sz="4" w:space="0" w:color="auto"/>
            </w:tcBorders>
          </w:tcPr>
          <w:p w:rsidR="00D534FD" w:rsidRPr="00D534FD" w:rsidRDefault="00D534FD" w:rsidP="00B26DBD">
            <w:pPr>
              <w:jc w:val="center"/>
              <w:rPr>
                <w:spacing w:val="-6"/>
                <w:sz w:val="20"/>
                <w:szCs w:val="20"/>
              </w:rPr>
            </w:pPr>
            <w:r w:rsidRPr="00D534FD">
              <w:rPr>
                <w:iCs/>
                <w:sz w:val="20"/>
                <w:szCs w:val="20"/>
              </w:rPr>
              <w:t>Microstructure of casting series  C</w:t>
            </w:r>
          </w:p>
        </w:tc>
      </w:tr>
      <w:tr w:rsidR="00D534FD" w:rsidRPr="00D534FD">
        <w:tc>
          <w:tcPr>
            <w:tcW w:w="4035" w:type="dxa"/>
            <w:tcBorders>
              <w:top w:val="single" w:sz="4" w:space="0" w:color="auto"/>
              <w:bottom w:val="nil"/>
            </w:tcBorders>
          </w:tcPr>
          <w:p w:rsidR="00D534FD" w:rsidRPr="00D534FD" w:rsidRDefault="006A7E5A" w:rsidP="00FD6884">
            <w:pPr>
              <w:jc w:val="both"/>
              <w:rPr>
                <w:spacing w:val="-6"/>
                <w:sz w:val="20"/>
                <w:szCs w:val="20"/>
              </w:rPr>
            </w:pPr>
            <w:r>
              <w:rPr>
                <w:noProof/>
                <w:sz w:val="20"/>
                <w:szCs w:val="20"/>
              </w:rPr>
              <w:drawing>
                <wp:inline distT="0" distB="0" distL="0" distR="0">
                  <wp:extent cx="2247900" cy="1533525"/>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748" w:type="dxa"/>
            <w:tcBorders>
              <w:top w:val="nil"/>
              <w:bottom w:val="nil"/>
            </w:tcBorders>
          </w:tcPr>
          <w:p w:rsidR="00D534FD" w:rsidRPr="00D534FD" w:rsidRDefault="00D534FD" w:rsidP="00FD6884">
            <w:pPr>
              <w:jc w:val="both"/>
              <w:rPr>
                <w:spacing w:val="-6"/>
                <w:sz w:val="20"/>
                <w:szCs w:val="20"/>
              </w:rPr>
            </w:pPr>
          </w:p>
        </w:tc>
        <w:tc>
          <w:tcPr>
            <w:tcW w:w="4488" w:type="dxa"/>
            <w:tcBorders>
              <w:top w:val="single" w:sz="4" w:space="0" w:color="auto"/>
              <w:bottom w:val="nil"/>
            </w:tcBorders>
          </w:tcPr>
          <w:p w:rsidR="00D534FD" w:rsidRPr="00D534FD" w:rsidRDefault="006A7E5A" w:rsidP="00FD6884">
            <w:pPr>
              <w:jc w:val="both"/>
              <w:rPr>
                <w:spacing w:val="-6"/>
                <w:sz w:val="20"/>
                <w:szCs w:val="20"/>
              </w:rPr>
            </w:pPr>
            <w:r>
              <w:rPr>
                <w:noProof/>
                <w:sz w:val="20"/>
                <w:szCs w:val="20"/>
              </w:rPr>
              <w:drawing>
                <wp:inline distT="0" distB="0" distL="0" distR="0">
                  <wp:extent cx="2428875" cy="1533525"/>
                  <wp:effectExtent l="0" t="0" r="0" b="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D534FD" w:rsidRPr="00D534FD">
        <w:tc>
          <w:tcPr>
            <w:tcW w:w="4035" w:type="dxa"/>
            <w:tcBorders>
              <w:top w:val="nil"/>
              <w:bottom w:val="single" w:sz="4" w:space="0" w:color="auto"/>
            </w:tcBorders>
          </w:tcPr>
          <w:p w:rsidR="00D534FD" w:rsidRPr="00D534FD" w:rsidRDefault="00D534FD" w:rsidP="00B26DBD">
            <w:pPr>
              <w:jc w:val="center"/>
              <w:rPr>
                <w:spacing w:val="-6"/>
                <w:sz w:val="20"/>
                <w:szCs w:val="20"/>
              </w:rPr>
            </w:pPr>
            <w:r w:rsidRPr="00D534FD">
              <w:rPr>
                <w:i/>
                <w:iCs/>
                <w:sz w:val="20"/>
                <w:szCs w:val="20"/>
              </w:rPr>
              <w:t>a-layer thickness 0,2 mm;</w:t>
            </w:r>
          </w:p>
        </w:tc>
        <w:tc>
          <w:tcPr>
            <w:tcW w:w="748" w:type="dxa"/>
            <w:tcBorders>
              <w:top w:val="nil"/>
              <w:bottom w:val="nil"/>
            </w:tcBorders>
          </w:tcPr>
          <w:p w:rsidR="00D534FD" w:rsidRPr="00D534FD" w:rsidRDefault="00D534FD" w:rsidP="00B26DBD">
            <w:pPr>
              <w:jc w:val="center"/>
              <w:rPr>
                <w:spacing w:val="-6"/>
                <w:sz w:val="20"/>
                <w:szCs w:val="20"/>
              </w:rPr>
            </w:pPr>
          </w:p>
        </w:tc>
        <w:tc>
          <w:tcPr>
            <w:tcW w:w="4488" w:type="dxa"/>
            <w:tcBorders>
              <w:top w:val="nil"/>
              <w:bottom w:val="single" w:sz="4" w:space="0" w:color="auto"/>
            </w:tcBorders>
          </w:tcPr>
          <w:p w:rsidR="00D534FD" w:rsidRPr="00D534FD" w:rsidRDefault="00D534FD" w:rsidP="00B26DBD">
            <w:pPr>
              <w:jc w:val="center"/>
              <w:rPr>
                <w:spacing w:val="-6"/>
                <w:sz w:val="20"/>
                <w:szCs w:val="20"/>
              </w:rPr>
            </w:pPr>
            <w:r w:rsidRPr="00D534FD">
              <w:rPr>
                <w:i/>
                <w:iCs/>
                <w:sz w:val="20"/>
                <w:szCs w:val="20"/>
              </w:rPr>
              <w:t>a-layer thickness 0,2 mm;</w:t>
            </w:r>
          </w:p>
        </w:tc>
      </w:tr>
      <w:tr w:rsidR="00D534FD" w:rsidRPr="00D534FD">
        <w:tc>
          <w:tcPr>
            <w:tcW w:w="4035" w:type="dxa"/>
            <w:tcBorders>
              <w:bottom w:val="nil"/>
            </w:tcBorders>
          </w:tcPr>
          <w:p w:rsidR="00D534FD" w:rsidRPr="00D534FD" w:rsidRDefault="006A7E5A" w:rsidP="00FD6884">
            <w:pPr>
              <w:jc w:val="both"/>
              <w:rPr>
                <w:spacing w:val="-6"/>
                <w:sz w:val="20"/>
                <w:szCs w:val="20"/>
              </w:rPr>
            </w:pPr>
            <w:r>
              <w:rPr>
                <w:noProof/>
                <w:sz w:val="20"/>
                <w:szCs w:val="20"/>
              </w:rPr>
              <w:drawing>
                <wp:inline distT="0" distB="0" distL="0" distR="0">
                  <wp:extent cx="2276475" cy="1323975"/>
                  <wp:effectExtent l="0" t="0" r="0" b="0"/>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748" w:type="dxa"/>
            <w:tcBorders>
              <w:top w:val="nil"/>
              <w:bottom w:val="nil"/>
            </w:tcBorders>
          </w:tcPr>
          <w:p w:rsidR="00D534FD" w:rsidRPr="00D534FD" w:rsidRDefault="00D534FD" w:rsidP="00FD6884">
            <w:pPr>
              <w:jc w:val="both"/>
              <w:rPr>
                <w:spacing w:val="-6"/>
                <w:sz w:val="20"/>
                <w:szCs w:val="20"/>
              </w:rPr>
            </w:pPr>
          </w:p>
        </w:tc>
        <w:tc>
          <w:tcPr>
            <w:tcW w:w="4488" w:type="dxa"/>
            <w:tcBorders>
              <w:bottom w:val="nil"/>
            </w:tcBorders>
          </w:tcPr>
          <w:p w:rsidR="00D534FD" w:rsidRPr="00D534FD" w:rsidRDefault="006A7E5A" w:rsidP="00FD6884">
            <w:pPr>
              <w:jc w:val="both"/>
              <w:rPr>
                <w:spacing w:val="-6"/>
                <w:sz w:val="20"/>
                <w:szCs w:val="20"/>
              </w:rPr>
            </w:pPr>
            <w:r>
              <w:rPr>
                <w:noProof/>
                <w:sz w:val="20"/>
                <w:szCs w:val="20"/>
              </w:rPr>
              <w:drawing>
                <wp:inline distT="0" distB="0" distL="0" distR="0">
                  <wp:extent cx="2428875" cy="1285875"/>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D534FD" w:rsidRPr="00D534FD">
        <w:tc>
          <w:tcPr>
            <w:tcW w:w="4035" w:type="dxa"/>
            <w:tcBorders>
              <w:top w:val="nil"/>
              <w:bottom w:val="single" w:sz="4" w:space="0" w:color="auto"/>
            </w:tcBorders>
          </w:tcPr>
          <w:p w:rsidR="00D534FD" w:rsidRPr="00D534FD" w:rsidRDefault="00D534FD" w:rsidP="00B26DBD">
            <w:pPr>
              <w:jc w:val="center"/>
              <w:rPr>
                <w:spacing w:val="-6"/>
                <w:sz w:val="20"/>
                <w:szCs w:val="20"/>
              </w:rPr>
            </w:pPr>
            <w:r w:rsidRPr="00D534FD">
              <w:rPr>
                <w:i/>
                <w:iCs/>
                <w:sz w:val="20"/>
                <w:szCs w:val="20"/>
              </w:rPr>
              <w:t>b-layer thickness 0,5 mm)</w:t>
            </w:r>
          </w:p>
        </w:tc>
        <w:tc>
          <w:tcPr>
            <w:tcW w:w="748" w:type="dxa"/>
            <w:tcBorders>
              <w:top w:val="nil"/>
              <w:bottom w:val="single" w:sz="4" w:space="0" w:color="auto"/>
            </w:tcBorders>
          </w:tcPr>
          <w:p w:rsidR="00D534FD" w:rsidRPr="00D534FD" w:rsidRDefault="00D534FD" w:rsidP="00B26DBD">
            <w:pPr>
              <w:jc w:val="center"/>
              <w:rPr>
                <w:spacing w:val="-6"/>
                <w:sz w:val="20"/>
                <w:szCs w:val="20"/>
              </w:rPr>
            </w:pPr>
          </w:p>
        </w:tc>
        <w:tc>
          <w:tcPr>
            <w:tcW w:w="4488" w:type="dxa"/>
            <w:tcBorders>
              <w:top w:val="nil"/>
              <w:bottom w:val="single" w:sz="4" w:space="0" w:color="auto"/>
            </w:tcBorders>
          </w:tcPr>
          <w:p w:rsidR="00D534FD" w:rsidRPr="00D534FD" w:rsidRDefault="00D534FD" w:rsidP="00B26DBD">
            <w:pPr>
              <w:jc w:val="center"/>
              <w:rPr>
                <w:spacing w:val="-6"/>
                <w:sz w:val="20"/>
                <w:szCs w:val="20"/>
              </w:rPr>
            </w:pPr>
            <w:r w:rsidRPr="00D534FD">
              <w:rPr>
                <w:i/>
                <w:iCs/>
                <w:sz w:val="20"/>
                <w:szCs w:val="20"/>
              </w:rPr>
              <w:t>b-layer thickness 0,5 mm</w:t>
            </w:r>
          </w:p>
        </w:tc>
      </w:tr>
      <w:tr w:rsidR="00D534FD" w:rsidRPr="00D534FD">
        <w:tc>
          <w:tcPr>
            <w:tcW w:w="4035" w:type="dxa"/>
          </w:tcPr>
          <w:p w:rsidR="00D534FD" w:rsidRPr="00D534FD" w:rsidRDefault="006A7E5A" w:rsidP="00B26DBD">
            <w:pPr>
              <w:jc w:val="center"/>
              <w:rPr>
                <w:spacing w:val="-6"/>
                <w:sz w:val="20"/>
                <w:szCs w:val="20"/>
              </w:rPr>
            </w:pPr>
            <w:r>
              <w:rPr>
                <w:noProof/>
                <w:sz w:val="20"/>
                <w:szCs w:val="20"/>
              </w:rPr>
              <w:drawing>
                <wp:inline distT="0" distB="0" distL="0" distR="0">
                  <wp:extent cx="2486025" cy="1381125"/>
                  <wp:effectExtent l="0" t="0" r="0" b="0"/>
                  <wp:docPr id="10"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748" w:type="dxa"/>
          </w:tcPr>
          <w:p w:rsidR="00D534FD" w:rsidRPr="00D534FD" w:rsidRDefault="00D534FD" w:rsidP="00B26DBD">
            <w:pPr>
              <w:jc w:val="center"/>
              <w:rPr>
                <w:spacing w:val="-6"/>
                <w:sz w:val="20"/>
                <w:szCs w:val="20"/>
              </w:rPr>
            </w:pPr>
          </w:p>
        </w:tc>
        <w:tc>
          <w:tcPr>
            <w:tcW w:w="4488" w:type="dxa"/>
          </w:tcPr>
          <w:p w:rsidR="00D534FD" w:rsidRPr="00D534FD" w:rsidRDefault="006A7E5A" w:rsidP="00B26DBD">
            <w:pPr>
              <w:jc w:val="center"/>
              <w:rPr>
                <w:spacing w:val="-6"/>
                <w:sz w:val="20"/>
                <w:szCs w:val="20"/>
              </w:rPr>
            </w:pPr>
            <w:r>
              <w:rPr>
                <w:noProof/>
                <w:sz w:val="20"/>
                <w:szCs w:val="20"/>
              </w:rPr>
              <w:drawing>
                <wp:inline distT="0" distB="0" distL="0" distR="0">
                  <wp:extent cx="2352675" cy="1381125"/>
                  <wp:effectExtent l="0" t="0" r="0"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D534FD" w:rsidRPr="00D534FD">
        <w:tc>
          <w:tcPr>
            <w:tcW w:w="4035" w:type="dxa"/>
          </w:tcPr>
          <w:p w:rsidR="00D534FD" w:rsidRPr="00D534FD" w:rsidRDefault="00D534FD" w:rsidP="00B26DBD">
            <w:pPr>
              <w:jc w:val="center"/>
              <w:rPr>
                <w:spacing w:val="-6"/>
                <w:sz w:val="20"/>
                <w:szCs w:val="20"/>
              </w:rPr>
            </w:pPr>
            <w:r w:rsidRPr="00D534FD">
              <w:rPr>
                <w:i/>
                <w:iCs/>
                <w:sz w:val="20"/>
                <w:szCs w:val="20"/>
              </w:rPr>
              <w:t>c-layer thickness 0,7 mm)</w:t>
            </w:r>
          </w:p>
        </w:tc>
        <w:tc>
          <w:tcPr>
            <w:tcW w:w="748" w:type="dxa"/>
          </w:tcPr>
          <w:p w:rsidR="00D534FD" w:rsidRPr="00D534FD" w:rsidRDefault="00D534FD" w:rsidP="00B26DBD">
            <w:pPr>
              <w:jc w:val="center"/>
              <w:rPr>
                <w:spacing w:val="-6"/>
                <w:sz w:val="20"/>
                <w:szCs w:val="20"/>
              </w:rPr>
            </w:pPr>
          </w:p>
        </w:tc>
        <w:tc>
          <w:tcPr>
            <w:tcW w:w="4488" w:type="dxa"/>
          </w:tcPr>
          <w:p w:rsidR="00D534FD" w:rsidRPr="00D534FD" w:rsidRDefault="00D534FD" w:rsidP="00B26DBD">
            <w:pPr>
              <w:jc w:val="center"/>
              <w:rPr>
                <w:spacing w:val="-6"/>
                <w:sz w:val="20"/>
                <w:szCs w:val="20"/>
              </w:rPr>
            </w:pPr>
            <w:r w:rsidRPr="00D534FD">
              <w:rPr>
                <w:i/>
                <w:iCs/>
                <w:sz w:val="20"/>
                <w:szCs w:val="20"/>
              </w:rPr>
              <w:t>c-layer thickness 0,7 mm</w:t>
            </w:r>
          </w:p>
        </w:tc>
      </w:tr>
    </w:tbl>
    <w:p w:rsidR="00D534FD" w:rsidRPr="00B26DBD" w:rsidRDefault="00D534FD" w:rsidP="00B26DBD">
      <w:pPr>
        <w:pStyle w:val="BodyTextIndent"/>
        <w:tabs>
          <w:tab w:val="left" w:pos="720"/>
        </w:tabs>
        <w:ind w:left="0"/>
        <w:jc w:val="center"/>
        <w:rPr>
          <w:sz w:val="20"/>
          <w:szCs w:val="20"/>
        </w:rPr>
      </w:pPr>
      <w:r w:rsidRPr="00B26DBD">
        <w:rPr>
          <w:b/>
          <w:sz w:val="20"/>
          <w:szCs w:val="20"/>
        </w:rPr>
        <w:t>Fig</w:t>
      </w:r>
      <w:r w:rsidR="00B26DBD">
        <w:rPr>
          <w:b/>
          <w:sz w:val="20"/>
          <w:szCs w:val="20"/>
        </w:rPr>
        <w:t>ure</w:t>
      </w:r>
      <w:r w:rsidRPr="00B26DBD">
        <w:rPr>
          <w:b/>
          <w:sz w:val="20"/>
          <w:szCs w:val="20"/>
        </w:rPr>
        <w:t xml:space="preserve"> 3</w:t>
      </w:r>
      <w:r w:rsidR="00B26DBD">
        <w:rPr>
          <w:sz w:val="20"/>
          <w:szCs w:val="20"/>
        </w:rPr>
        <w:t>:</w:t>
      </w:r>
      <w:r w:rsidRPr="00B26DBD">
        <w:rPr>
          <w:sz w:val="20"/>
          <w:szCs w:val="20"/>
        </w:rPr>
        <w:t xml:space="preserve">  </w:t>
      </w:r>
      <w:r w:rsidRPr="00B26DBD">
        <w:rPr>
          <w:bCs/>
          <w:iCs/>
          <w:sz w:val="20"/>
          <w:szCs w:val="20"/>
        </w:rPr>
        <w:t xml:space="preserve">Microstructure </w:t>
      </w:r>
      <w:r w:rsidRPr="00B26DBD">
        <w:rPr>
          <w:b/>
          <w:bCs/>
          <w:iCs/>
          <w:sz w:val="20"/>
          <w:szCs w:val="20"/>
        </w:rPr>
        <w:t xml:space="preserve">, </w:t>
      </w:r>
      <w:r w:rsidRPr="00B26DBD">
        <w:rPr>
          <w:iCs/>
          <w:sz w:val="20"/>
          <w:szCs w:val="20"/>
        </w:rPr>
        <w:t>DAS of ca</w:t>
      </w:r>
      <w:r w:rsidR="00FD6884" w:rsidRPr="00B26DBD">
        <w:rPr>
          <w:iCs/>
          <w:sz w:val="20"/>
          <w:szCs w:val="20"/>
        </w:rPr>
        <w:t>stin</w:t>
      </w:r>
      <w:r w:rsidRPr="00B26DBD">
        <w:rPr>
          <w:iCs/>
          <w:sz w:val="20"/>
          <w:szCs w:val="20"/>
        </w:rPr>
        <w:t xml:space="preserve">g series T </w:t>
      </w:r>
      <w:r w:rsidRPr="00B26DBD">
        <w:rPr>
          <w:sz w:val="20"/>
          <w:szCs w:val="20"/>
        </w:rPr>
        <w:t xml:space="preserve">  </w:t>
      </w:r>
      <w:r w:rsidR="00FD6884" w:rsidRPr="00B26DBD">
        <w:rPr>
          <w:sz w:val="20"/>
          <w:szCs w:val="20"/>
        </w:rPr>
        <w:t xml:space="preserve">                </w:t>
      </w:r>
      <w:r w:rsidR="00B26DBD" w:rsidRPr="00B26DBD">
        <w:rPr>
          <w:b/>
          <w:sz w:val="20"/>
          <w:szCs w:val="20"/>
        </w:rPr>
        <w:t>Fig</w:t>
      </w:r>
      <w:r w:rsidR="00B26DBD">
        <w:rPr>
          <w:b/>
          <w:sz w:val="20"/>
          <w:szCs w:val="20"/>
        </w:rPr>
        <w:t>ure</w:t>
      </w:r>
      <w:r w:rsidR="00B26DBD" w:rsidRPr="00B26DBD">
        <w:rPr>
          <w:b/>
          <w:sz w:val="20"/>
          <w:szCs w:val="20"/>
        </w:rPr>
        <w:t xml:space="preserve"> 4</w:t>
      </w:r>
      <w:r w:rsidR="00B26DBD">
        <w:rPr>
          <w:sz w:val="20"/>
          <w:szCs w:val="20"/>
        </w:rPr>
        <w:t>:</w:t>
      </w:r>
      <w:r w:rsidRPr="00B26DBD">
        <w:rPr>
          <w:sz w:val="20"/>
          <w:szCs w:val="20"/>
        </w:rPr>
        <w:t xml:space="preserve"> </w:t>
      </w:r>
      <w:r w:rsidRPr="00B26DBD">
        <w:rPr>
          <w:bCs/>
          <w:iCs/>
          <w:sz w:val="20"/>
          <w:szCs w:val="20"/>
        </w:rPr>
        <w:t xml:space="preserve">Microstructure , </w:t>
      </w:r>
      <w:r w:rsidRPr="00B26DBD">
        <w:rPr>
          <w:iCs/>
          <w:sz w:val="20"/>
          <w:szCs w:val="20"/>
        </w:rPr>
        <w:t>DAS of casting series C</w:t>
      </w:r>
    </w:p>
    <w:p w:rsidR="00D534FD" w:rsidRPr="00D534FD" w:rsidRDefault="00D534FD" w:rsidP="00FD6884">
      <w:pPr>
        <w:pStyle w:val="text"/>
        <w:spacing w:line="240" w:lineRule="auto"/>
        <w:jc w:val="center"/>
        <w:rPr>
          <w:rFonts w:ascii="Times New Roman" w:hAnsi="Times New Roman"/>
          <w:sz w:val="20"/>
        </w:rPr>
      </w:pPr>
      <w:r w:rsidRPr="00D534FD">
        <w:rPr>
          <w:rFonts w:ascii="Times New Roman" w:hAnsi="Times New Roman"/>
          <w:spacing w:val="-4"/>
          <w:sz w:val="20"/>
        </w:rPr>
        <w:tab/>
      </w:r>
    </w:p>
    <w:p w:rsidR="00D534FD" w:rsidRPr="00D534FD" w:rsidRDefault="00D534FD" w:rsidP="00FD6884">
      <w:pPr>
        <w:jc w:val="both"/>
        <w:rPr>
          <w:spacing w:val="-4"/>
          <w:sz w:val="20"/>
          <w:szCs w:val="20"/>
        </w:rPr>
      </w:pPr>
      <w:r w:rsidRPr="00D534FD">
        <w:rPr>
          <w:spacing w:val="-4"/>
          <w:sz w:val="20"/>
          <w:szCs w:val="20"/>
        </w:rPr>
        <w:t>Measuring geometrical structure parameters of the samples produced by EPC procedure, with cordierite and talc-based coatings, shows that the application of talc and cordierite-based  coatings had influence on decreased structure dispersion (higher DAS), while the volumetric part of eutectic remained unchanged,which means that cooling rate affected structure dispersion, but not the part of eutectic. It can be also concluded that  coating thickness had  slight  effect on the change of cooling conditions, which shows slight  increase  of the DAS value, as well, with increase of refractory coating thickness (Figure 3,4).</w:t>
      </w:r>
    </w:p>
    <w:p w:rsidR="00D534FD" w:rsidRPr="00D534FD" w:rsidRDefault="00D534FD" w:rsidP="00FD6884">
      <w:pPr>
        <w:jc w:val="center"/>
        <w:rPr>
          <w:sz w:val="20"/>
          <w:szCs w:val="20"/>
          <w:lang w:val="en-GB"/>
        </w:rPr>
      </w:pPr>
    </w:p>
    <w:p w:rsidR="00D534FD" w:rsidRPr="00D534FD" w:rsidRDefault="00D534FD" w:rsidP="00FD6884">
      <w:pPr>
        <w:jc w:val="center"/>
        <w:rPr>
          <w:sz w:val="20"/>
          <w:szCs w:val="20"/>
          <w:lang w:val="en-GB"/>
        </w:rPr>
      </w:pPr>
    </w:p>
    <w:p w:rsidR="00D534FD" w:rsidRPr="00B26DBD" w:rsidRDefault="00D534FD" w:rsidP="00FD6884">
      <w:pPr>
        <w:jc w:val="both"/>
        <w:rPr>
          <w:b/>
          <w:bCs/>
          <w:caps/>
          <w:sz w:val="22"/>
          <w:szCs w:val="22"/>
        </w:rPr>
      </w:pPr>
      <w:r w:rsidRPr="00B26DBD">
        <w:rPr>
          <w:b/>
          <w:bCs/>
          <w:caps/>
          <w:sz w:val="22"/>
          <w:szCs w:val="22"/>
        </w:rPr>
        <w:t>4. Conclusion</w:t>
      </w:r>
    </w:p>
    <w:p w:rsidR="00D534FD" w:rsidRPr="00D534FD" w:rsidRDefault="00D534FD" w:rsidP="00FD6884">
      <w:pPr>
        <w:jc w:val="center"/>
        <w:rPr>
          <w:sz w:val="20"/>
          <w:szCs w:val="20"/>
          <w:lang w:val="en-GB"/>
        </w:rPr>
      </w:pPr>
    </w:p>
    <w:p w:rsidR="00D534FD" w:rsidRDefault="00D534FD" w:rsidP="00FD6884">
      <w:pPr>
        <w:jc w:val="both"/>
        <w:rPr>
          <w:sz w:val="20"/>
          <w:szCs w:val="20"/>
        </w:rPr>
      </w:pPr>
      <w:r w:rsidRPr="00D534FD">
        <w:rPr>
          <w:sz w:val="20"/>
          <w:szCs w:val="20"/>
        </w:rPr>
        <w:t>For the purpose of obtaining castings by the Lost Foam  process, it is necessary to adjust technological parameters of the process in order to enable complete decomposition and evaporation of the model and avoid the appearance of casting failures such as porosity and short pouring. Because of that, models of smaller density (under 20 kg/cm</w:t>
      </w:r>
      <w:r w:rsidRPr="00D534FD">
        <w:rPr>
          <w:sz w:val="20"/>
          <w:szCs w:val="20"/>
          <w:vertAlign w:val="superscript"/>
        </w:rPr>
        <w:t>3</w:t>
      </w:r>
      <w:r w:rsidRPr="00D534FD">
        <w:rPr>
          <w:sz w:val="20"/>
          <w:szCs w:val="20"/>
        </w:rPr>
        <w:t>) should be used with finer polystyrene gain and with thinner coating layers. Application of cordierite samples as refractory fillers during manufacture of refractory coatings for sand moulds and cores as well as of refractory linings for the Lost Foam foundry process showed positive effects. Futher investigations should be continued towards production of more efficient suspension binder concentrates with a new suspension binder. Development of the cordieritebased refractory lining can contribute to the development of Lost Foam process, which represents one of the newer foundry technologies intended to the production of responsible parts in automotive and air craft industries.</w:t>
      </w:r>
    </w:p>
    <w:p w:rsidR="00417821" w:rsidRDefault="00417821" w:rsidP="00FD6884">
      <w:pPr>
        <w:jc w:val="both"/>
        <w:rPr>
          <w:sz w:val="20"/>
          <w:szCs w:val="20"/>
        </w:rPr>
      </w:pPr>
    </w:p>
    <w:p w:rsidR="00417821" w:rsidRDefault="00417821" w:rsidP="00FD6884">
      <w:pPr>
        <w:jc w:val="both"/>
        <w:rPr>
          <w:sz w:val="20"/>
          <w:szCs w:val="20"/>
        </w:rPr>
      </w:pPr>
    </w:p>
    <w:p w:rsidR="00417821" w:rsidRPr="00417821" w:rsidRDefault="00417821" w:rsidP="00417821">
      <w:pPr>
        <w:pStyle w:val="BodyText"/>
        <w:spacing w:line="360" w:lineRule="exact"/>
        <w:rPr>
          <w:b/>
          <w:color w:val="000000"/>
          <w:sz w:val="22"/>
          <w:szCs w:val="22"/>
        </w:rPr>
      </w:pPr>
      <w:r w:rsidRPr="00417821">
        <w:rPr>
          <w:b/>
          <w:color w:val="000000"/>
          <w:sz w:val="22"/>
          <w:szCs w:val="22"/>
        </w:rPr>
        <w:t>REFERENCES</w:t>
      </w:r>
    </w:p>
    <w:p w:rsidR="00D534FD" w:rsidRPr="00DE45CB" w:rsidRDefault="00D534FD" w:rsidP="00FD6884">
      <w:pPr>
        <w:jc w:val="both"/>
        <w:rPr>
          <w:sz w:val="20"/>
          <w:szCs w:val="20"/>
        </w:rPr>
      </w:pPr>
      <w:r w:rsidRPr="00DE45CB">
        <w:rPr>
          <w:color w:val="000000"/>
          <w:spacing w:val="-4"/>
          <w:sz w:val="20"/>
          <w:szCs w:val="20"/>
          <w:lang w:val="hr-HR"/>
        </w:rPr>
        <w:sym w:font="Symbol" w:char="F05B"/>
      </w:r>
      <w:r w:rsidRPr="00DE45CB">
        <w:rPr>
          <w:color w:val="000000"/>
          <w:spacing w:val="-4"/>
          <w:sz w:val="20"/>
          <w:szCs w:val="20"/>
          <w:lang w:val="hr-HR"/>
        </w:rPr>
        <w:t>1</w:t>
      </w:r>
      <w:r w:rsidRPr="00DE45CB">
        <w:rPr>
          <w:color w:val="000000"/>
          <w:spacing w:val="-4"/>
          <w:sz w:val="20"/>
          <w:szCs w:val="20"/>
          <w:lang w:val="hr-HR"/>
        </w:rPr>
        <w:sym w:font="Symbol" w:char="F05D"/>
      </w:r>
      <w:r w:rsidRPr="00DE45CB">
        <w:rPr>
          <w:color w:val="000000"/>
          <w:spacing w:val="-4"/>
          <w:sz w:val="20"/>
          <w:szCs w:val="20"/>
          <w:lang w:val="hr-HR"/>
        </w:rPr>
        <w:t xml:space="preserve"> </w:t>
      </w:r>
      <w:r w:rsidRPr="00DE45CB">
        <w:rPr>
          <w:sz w:val="20"/>
          <w:szCs w:val="20"/>
        </w:rPr>
        <w:t>Lj. Trumbulovic: Effects of the application cordierite ceramics in foundry, Disertacion, Faculty of Technology and Metallurgy Belgrade, (2003).</w:t>
      </w:r>
    </w:p>
    <w:p w:rsidR="00D534FD" w:rsidRPr="00DE45CB" w:rsidRDefault="00D534FD" w:rsidP="00FD6884">
      <w:pPr>
        <w:jc w:val="both"/>
        <w:rPr>
          <w:sz w:val="20"/>
          <w:szCs w:val="20"/>
          <w:lang w:val="hr-HR"/>
        </w:rPr>
      </w:pPr>
      <w:r w:rsidRPr="00DE45CB">
        <w:rPr>
          <w:sz w:val="20"/>
          <w:szCs w:val="20"/>
          <w:lang w:val="hr-HR"/>
        </w:rPr>
        <w:t xml:space="preserve">[2] </w:t>
      </w:r>
      <w:r w:rsidR="00050BC9" w:rsidRPr="00DE45CB">
        <w:rPr>
          <w:bCs/>
          <w:sz w:val="20"/>
          <w:szCs w:val="20"/>
          <w:lang w:val="sr-Latn-CS"/>
        </w:rPr>
        <w:t>Lj.Trumbulović Bujić, Z.Aćimović Pavlović: Kordijeritna keramika u livarstvu, monografija, Savez inženjera metalurgije Srbije (2010),s.110,ISBN 978</w:t>
      </w:r>
      <w:r w:rsidR="00050BC9" w:rsidRPr="00DE45CB">
        <w:rPr>
          <w:sz w:val="20"/>
          <w:szCs w:val="20"/>
          <w:lang w:val="sr-Latn-CS"/>
        </w:rPr>
        <w:t xml:space="preserve">-86-87183-11-7 </w:t>
      </w:r>
      <w:r w:rsidR="00050BC9" w:rsidRPr="00DE45CB">
        <w:rPr>
          <w:bCs/>
          <w:sz w:val="20"/>
          <w:szCs w:val="20"/>
          <w:lang w:val="sr-Latn-CS"/>
        </w:rPr>
        <w:t>Beograd 2011.god.</w:t>
      </w:r>
    </w:p>
    <w:p w:rsidR="00D534FD" w:rsidRPr="00DE45CB" w:rsidRDefault="00D534FD" w:rsidP="00FD6884">
      <w:pPr>
        <w:jc w:val="both"/>
        <w:rPr>
          <w:color w:val="000000"/>
          <w:spacing w:val="-4"/>
          <w:sz w:val="20"/>
          <w:szCs w:val="20"/>
          <w:lang w:val="hr-HR"/>
        </w:rPr>
      </w:pPr>
      <w:r w:rsidRPr="00DE45CB">
        <w:rPr>
          <w:color w:val="000000"/>
          <w:spacing w:val="-4"/>
          <w:sz w:val="20"/>
          <w:szCs w:val="20"/>
          <w:lang w:val="hr-HR"/>
        </w:rPr>
        <w:sym w:font="Symbol" w:char="F05B"/>
      </w:r>
      <w:r w:rsidRPr="00DE45CB">
        <w:rPr>
          <w:color w:val="000000"/>
          <w:spacing w:val="-4"/>
          <w:sz w:val="20"/>
          <w:szCs w:val="20"/>
          <w:lang w:val="hr-HR"/>
        </w:rPr>
        <w:t>3</w:t>
      </w:r>
      <w:r w:rsidRPr="00DE45CB">
        <w:rPr>
          <w:color w:val="000000"/>
          <w:spacing w:val="-4"/>
          <w:sz w:val="20"/>
          <w:szCs w:val="20"/>
          <w:lang w:val="hr-HR"/>
        </w:rPr>
        <w:sym w:font="Symbol" w:char="F05D"/>
      </w:r>
      <w:r w:rsidRPr="00DE45CB">
        <w:rPr>
          <w:color w:val="000000"/>
          <w:spacing w:val="-4"/>
          <w:sz w:val="20"/>
          <w:szCs w:val="20"/>
          <w:lang w:val="hr-HR"/>
        </w:rPr>
        <w:t xml:space="preserve"> Z.A</w:t>
      </w:r>
      <w:r w:rsidR="00B26DBD" w:rsidRPr="00DE45CB">
        <w:rPr>
          <w:color w:val="000000"/>
          <w:spacing w:val="-4"/>
          <w:sz w:val="20"/>
          <w:szCs w:val="20"/>
          <w:lang w:val="hr-HR"/>
        </w:rPr>
        <w:t>ćimović</w:t>
      </w:r>
      <w:r w:rsidRPr="00DE45CB">
        <w:rPr>
          <w:color w:val="000000"/>
          <w:spacing w:val="-4"/>
          <w:sz w:val="20"/>
          <w:szCs w:val="20"/>
          <w:lang w:val="hr-HR"/>
        </w:rPr>
        <w:t>: EPC Method, monograph, Faculty of Technology and Metallurgy, Belgrade (2000).</w:t>
      </w:r>
    </w:p>
    <w:p w:rsidR="00DE45CB" w:rsidRPr="00DE45CB" w:rsidRDefault="00D534FD" w:rsidP="00DE45CB">
      <w:pPr>
        <w:jc w:val="both"/>
        <w:rPr>
          <w:color w:val="000000"/>
          <w:spacing w:val="-4"/>
          <w:sz w:val="20"/>
          <w:szCs w:val="20"/>
        </w:rPr>
      </w:pPr>
      <w:r w:rsidRPr="00DE45CB">
        <w:rPr>
          <w:color w:val="000000"/>
          <w:spacing w:val="-4"/>
          <w:sz w:val="20"/>
          <w:szCs w:val="20"/>
          <w:lang w:val="hr-HR"/>
        </w:rPr>
        <w:sym w:font="Symbol" w:char="F05B"/>
      </w:r>
      <w:r w:rsidRPr="00DE45CB">
        <w:rPr>
          <w:color w:val="000000"/>
          <w:spacing w:val="-4"/>
          <w:sz w:val="20"/>
          <w:szCs w:val="20"/>
          <w:lang w:val="hr-HR"/>
        </w:rPr>
        <w:t>4</w:t>
      </w:r>
      <w:r w:rsidRPr="00DE45CB">
        <w:rPr>
          <w:color w:val="000000"/>
          <w:spacing w:val="-4"/>
          <w:sz w:val="20"/>
          <w:szCs w:val="20"/>
          <w:lang w:val="hr-HR"/>
        </w:rPr>
        <w:sym w:font="Symbol" w:char="F05D"/>
      </w:r>
      <w:r w:rsidR="00DE45CB" w:rsidRPr="00DE45CB">
        <w:rPr>
          <w:b/>
          <w:bCs/>
          <w:color w:val="000000"/>
          <w:spacing w:val="-4"/>
          <w:sz w:val="20"/>
          <w:szCs w:val="20"/>
        </w:rPr>
        <w:t xml:space="preserve"> </w:t>
      </w:r>
      <w:r w:rsidR="00DE45CB" w:rsidRPr="00DE45CB">
        <w:rPr>
          <w:bCs/>
          <w:color w:val="000000"/>
          <w:spacing w:val="-4"/>
          <w:sz w:val="20"/>
          <w:szCs w:val="20"/>
        </w:rPr>
        <w:t>Lj.Trumbulović</w:t>
      </w:r>
      <w:r w:rsidR="00DE45CB" w:rsidRPr="00DE45CB">
        <w:rPr>
          <w:b/>
          <w:bCs/>
          <w:color w:val="000000"/>
          <w:spacing w:val="-4"/>
          <w:sz w:val="20"/>
          <w:szCs w:val="20"/>
        </w:rPr>
        <w:t>,</w:t>
      </w:r>
      <w:r w:rsidR="00DE45CB" w:rsidRPr="00DE45CB">
        <w:rPr>
          <w:color w:val="000000"/>
          <w:spacing w:val="-4"/>
          <w:sz w:val="20"/>
          <w:szCs w:val="20"/>
        </w:rPr>
        <w:t xml:space="preserve"> Z.Aćimović, Z.Gulišija: "Correlation of technological parameters and quality of  castings obtained by the EPC method", ELSEVIER , Materials Letters 58 Issue 11,  (2004) ,  Netherlands,  pp.1726-1731. ISSN 0167-577X, (IF=1,186, 60/177)</w:t>
      </w:r>
    </w:p>
    <w:p w:rsidR="00D534FD" w:rsidRPr="00DE45CB" w:rsidRDefault="00D534FD" w:rsidP="00FD6884">
      <w:pPr>
        <w:jc w:val="both"/>
        <w:rPr>
          <w:color w:val="000000"/>
          <w:spacing w:val="-4"/>
          <w:sz w:val="20"/>
          <w:szCs w:val="20"/>
          <w:lang w:val="hr-HR"/>
        </w:rPr>
      </w:pPr>
      <w:r w:rsidRPr="00DE45CB">
        <w:rPr>
          <w:color w:val="000000"/>
          <w:spacing w:val="-4"/>
          <w:sz w:val="20"/>
          <w:szCs w:val="20"/>
          <w:lang w:val="hr-HR"/>
        </w:rPr>
        <w:sym w:font="Symbol" w:char="F05B"/>
      </w:r>
      <w:r w:rsidRPr="00DE45CB">
        <w:rPr>
          <w:color w:val="000000"/>
          <w:spacing w:val="-4"/>
          <w:sz w:val="20"/>
          <w:szCs w:val="20"/>
          <w:lang w:val="hr-HR"/>
        </w:rPr>
        <w:t>5</w:t>
      </w:r>
      <w:r w:rsidRPr="00DE45CB">
        <w:rPr>
          <w:color w:val="000000"/>
          <w:spacing w:val="-4"/>
          <w:sz w:val="20"/>
          <w:szCs w:val="20"/>
          <w:lang w:val="hr-HR"/>
        </w:rPr>
        <w:sym w:font="Symbol" w:char="F05D"/>
      </w:r>
      <w:r w:rsidR="00B26DBD" w:rsidRPr="00DE45CB">
        <w:rPr>
          <w:color w:val="000000"/>
          <w:spacing w:val="-4"/>
          <w:sz w:val="20"/>
          <w:szCs w:val="20"/>
          <w:lang w:val="hr-HR"/>
        </w:rPr>
        <w:t xml:space="preserve"> Lj. Trumbulović</w:t>
      </w:r>
      <w:r w:rsidRPr="00DE45CB">
        <w:rPr>
          <w:color w:val="000000"/>
          <w:spacing w:val="-4"/>
          <w:sz w:val="20"/>
          <w:szCs w:val="20"/>
          <w:lang w:val="hr-HR"/>
        </w:rPr>
        <w:t>, Z. A</w:t>
      </w:r>
      <w:r w:rsidR="00B26DBD" w:rsidRPr="00DE45CB">
        <w:rPr>
          <w:color w:val="000000"/>
          <w:spacing w:val="-4"/>
          <w:sz w:val="20"/>
          <w:szCs w:val="20"/>
          <w:lang w:val="hr-HR"/>
        </w:rPr>
        <w:t>ć</w:t>
      </w:r>
      <w:r w:rsidRPr="00DE45CB">
        <w:rPr>
          <w:color w:val="000000"/>
          <w:spacing w:val="-4"/>
          <w:sz w:val="20"/>
          <w:szCs w:val="20"/>
          <w:lang w:val="hr-HR"/>
        </w:rPr>
        <w:t>imovi</w:t>
      </w:r>
      <w:r w:rsidR="00B26DBD" w:rsidRPr="00DE45CB">
        <w:rPr>
          <w:color w:val="000000"/>
          <w:spacing w:val="-4"/>
          <w:sz w:val="20"/>
          <w:szCs w:val="20"/>
          <w:lang w:val="hr-HR"/>
        </w:rPr>
        <w:t>ć</w:t>
      </w:r>
      <w:r w:rsidRPr="00DE45CB">
        <w:rPr>
          <w:color w:val="000000"/>
          <w:spacing w:val="-4"/>
          <w:sz w:val="20"/>
          <w:szCs w:val="20"/>
          <w:lang w:val="hr-HR"/>
        </w:rPr>
        <w:t>, S. Pani</w:t>
      </w:r>
      <w:r w:rsidR="00B26DBD" w:rsidRPr="00DE45CB">
        <w:rPr>
          <w:color w:val="000000"/>
          <w:spacing w:val="-4"/>
          <w:sz w:val="20"/>
          <w:szCs w:val="20"/>
          <w:lang w:val="hr-HR"/>
        </w:rPr>
        <w:t>ć</w:t>
      </w:r>
      <w:r w:rsidRPr="00DE45CB">
        <w:rPr>
          <w:color w:val="000000"/>
          <w:spacing w:val="-4"/>
          <w:sz w:val="20"/>
          <w:szCs w:val="20"/>
          <w:lang w:val="hr-HR"/>
        </w:rPr>
        <w:t>: Tehnika  53 (2003), 6, p.7-12.</w:t>
      </w:r>
    </w:p>
    <w:p w:rsidR="00D534FD" w:rsidRPr="00D534FD" w:rsidRDefault="00D534FD" w:rsidP="00FD6884">
      <w:pPr>
        <w:rPr>
          <w:sz w:val="20"/>
          <w:szCs w:val="20"/>
          <w:lang w:val="hr-HR"/>
        </w:rPr>
      </w:pPr>
    </w:p>
    <w:p w:rsidR="00D534FD" w:rsidRPr="00D534FD" w:rsidRDefault="00D534FD" w:rsidP="00FD6884">
      <w:pPr>
        <w:rPr>
          <w:sz w:val="20"/>
          <w:szCs w:val="20"/>
          <w:lang w:val="hr-HR"/>
        </w:rPr>
      </w:pPr>
    </w:p>
    <w:p w:rsidR="00D534FD" w:rsidRPr="00D534FD" w:rsidRDefault="00D534FD" w:rsidP="00FD6884">
      <w:pPr>
        <w:pStyle w:val="BodyTextIndent"/>
        <w:tabs>
          <w:tab w:val="left" w:pos="720"/>
        </w:tabs>
        <w:jc w:val="both"/>
        <w:rPr>
          <w:b/>
          <w:bCs/>
          <w:sz w:val="20"/>
          <w:szCs w:val="20"/>
        </w:rPr>
      </w:pPr>
    </w:p>
    <w:sectPr w:rsidR="00D534FD" w:rsidRPr="00D534FD" w:rsidSect="000F5682">
      <w:headerReference w:type="default" r:id="rId18"/>
      <w:footerReference w:type="default" r:id="rId19"/>
      <w:pgSz w:w="11907" w:h="16840" w:code="9"/>
      <w:pgMar w:top="1134" w:right="1134" w:bottom="1134" w:left="1134" w:header="709" w:footer="709" w:gutter="0"/>
      <w:pgNumType w:start="1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0568" w:rsidRDefault="00A60568" w:rsidP="000F0A25">
      <w:r>
        <w:separator/>
      </w:r>
    </w:p>
  </w:endnote>
  <w:endnote w:type="continuationSeparator" w:id="1">
    <w:p w:rsidR="00A60568" w:rsidRDefault="00A60568" w:rsidP="000F0A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2">
    <w:altName w:val="Arial"/>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81" w:type="dxa"/>
      <w:tblInd w:w="-34" w:type="dxa"/>
      <w:tblBorders>
        <w:top w:val="thinThickSmallGap" w:sz="24" w:space="0" w:color="990000"/>
      </w:tblBorders>
      <w:tblLook w:val="0000"/>
    </w:tblPr>
    <w:tblGrid>
      <w:gridCol w:w="9781"/>
    </w:tblGrid>
    <w:tr w:rsidR="0098163F" w:rsidTr="0098163F">
      <w:trPr>
        <w:trHeight w:val="100"/>
      </w:trPr>
      <w:tc>
        <w:tcPr>
          <w:tcW w:w="9781" w:type="dxa"/>
        </w:tcPr>
        <w:p w:rsidR="0098163F" w:rsidRDefault="0098163F" w:rsidP="007E7749">
          <w:pPr>
            <w:pStyle w:val="Footer"/>
            <w:jc w:val="right"/>
          </w:pPr>
          <w:r w:rsidRPr="007E43D7">
            <w:t xml:space="preserve">1 - </w:t>
          </w:r>
          <w:sdt>
            <w:sdtPr>
              <w:id w:val="20954593"/>
              <w:docPartObj>
                <w:docPartGallery w:val="Page Numbers (Bottom of Page)"/>
                <w:docPartUnique/>
              </w:docPartObj>
            </w:sdtPr>
            <w:sdtContent>
              <w:fldSimple w:instr=" PAGE   \* MERGEFORMAT ">
                <w:r w:rsidR="00A60568">
                  <w:rPr>
                    <w:noProof/>
                  </w:rPr>
                  <w:t>10</w:t>
                </w:r>
              </w:fldSimple>
            </w:sdtContent>
          </w:sdt>
        </w:p>
      </w:tc>
    </w:tr>
  </w:tbl>
  <w:p w:rsidR="0098163F" w:rsidRDefault="0098163F" w:rsidP="0098163F">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0568" w:rsidRDefault="00A60568" w:rsidP="000F0A25">
      <w:r>
        <w:separator/>
      </w:r>
    </w:p>
  </w:footnote>
  <w:footnote w:type="continuationSeparator" w:id="1">
    <w:p w:rsidR="00A60568" w:rsidRDefault="00A60568" w:rsidP="000F0A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C06" w:rsidRDefault="00CA2CD9" w:rsidP="00E37C06">
    <w:pPr>
      <w:pStyle w:val="Header"/>
    </w:pPr>
    <w:r>
      <w:rPr>
        <w:noProof/>
      </w:rPr>
      <w:pict>
        <v:group id="Group 1" o:spid="_x0000_s3079" style="position:absolute;margin-left:-12.35pt;margin-top:-32.15pt;width:495.65pt;height:62pt;z-index:251661312" coordorigin="1170,186" coordsize="952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">
          <v:shapetype id="_x0000_t32" coordsize="21600,21600" o:spt="32" o:oned="t" path="m,l21600,21600e" filled="f">
            <v:path arrowok="t" fillok="f" o:connecttype="none"/>
            <o:lock v:ext="edit" shapetype="t"/>
          </v:shapetype>
          <v:shape id="AutoShape 2" o:spid="_x0000_s3080" type="#_x0000_t32" style="position:absolute;left:1170;top:1110;width:952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" strokecolor="#943634" strokeweight="2.25pt"/>
          <v:shapetype id="_x0000_t202" coordsize="21600,21600" o:spt="202" path="m,l,21600r21600,l21600,xe">
            <v:stroke joinstyle="miter"/>
            <v:path gradientshapeok="t" o:connecttype="rect"/>
          </v:shapetype>
          <v:shape id="Text Box 3" o:spid="_x0000_s3081" type="#_x0000_t202" style="position:absolute;left:1179;top:186;width:129;height: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rsidR="00E37C06" w:rsidRDefault="00E37C06" w:rsidP="00E37C06"/>
              </w:txbxContent>
            </v:textbox>
          </v:shape>
          <v:shape id="Text Box 4" o:spid="_x0000_s3082" type="#_x0000_t202" style="position:absolute;left:2416;top:363;width:7200;height: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rsidR="00E37C06" w:rsidRDefault="00E37C06" w:rsidP="00E37C06">
                  <w:pPr>
                    <w:pStyle w:val="NoSpacing"/>
                    <w:jc w:val="center"/>
                    <w:rPr>
                      <w:rFonts w:ascii="Times New Roman" w:hAnsi="Times New Roman"/>
                      <w:sz w:val="20"/>
                      <w:szCs w:val="20"/>
                    </w:rPr>
                  </w:pPr>
                  <w:r>
                    <w:rPr>
                      <w:rFonts w:ascii="Times New Roman" w:hAnsi="Times New Roman"/>
                      <w:sz w:val="20"/>
                      <w:szCs w:val="20"/>
                    </w:rPr>
                    <w:t>10</w:t>
                  </w:r>
                  <w:r>
                    <w:rPr>
                      <w:rFonts w:ascii="Times New Roman" w:hAnsi="Times New Roman"/>
                      <w:sz w:val="20"/>
                      <w:szCs w:val="20"/>
                      <w:vertAlign w:val="superscript"/>
                    </w:rPr>
                    <w:t>th</w:t>
                  </w:r>
                  <w:r>
                    <w:rPr>
                      <w:rFonts w:ascii="Times New Roman" w:hAnsi="Times New Roman"/>
                      <w:sz w:val="20"/>
                      <w:szCs w:val="20"/>
                    </w:rPr>
                    <w:t xml:space="preserve"> International Scientific Conference</w:t>
                  </w:r>
                </w:p>
                <w:p w:rsidR="00E37C06" w:rsidRDefault="00E37C06" w:rsidP="00E37C06">
                  <w:pPr>
                    <w:pStyle w:val="NoSpacing"/>
                    <w:jc w:val="center"/>
                    <w:rPr>
                      <w:rFonts w:ascii="Times New Roman" w:hAnsi="Times New Roman"/>
                      <w:sz w:val="20"/>
                      <w:szCs w:val="20"/>
                    </w:rPr>
                  </w:pPr>
                  <w:r>
                    <w:rPr>
                      <w:rFonts w:ascii="Times New Roman" w:hAnsi="Times New Roman"/>
                      <w:sz w:val="20"/>
                      <w:szCs w:val="20"/>
                    </w:rPr>
                    <w:t>“Science and Higher Education in Function of Sustainable Development”</w:t>
                  </w:r>
                </w:p>
                <w:p w:rsidR="00E37C06" w:rsidRDefault="00E37C06" w:rsidP="00E37C06">
                  <w:pPr>
                    <w:pStyle w:val="NoSpacing"/>
                    <w:jc w:val="center"/>
                    <w:rPr>
                      <w:rFonts w:ascii="Times New Roman" w:hAnsi="Times New Roman"/>
                      <w:sz w:val="20"/>
                      <w:szCs w:val="20"/>
                    </w:rPr>
                  </w:pPr>
                  <w:r>
                    <w:rPr>
                      <w:rFonts w:ascii="Times New Roman" w:hAnsi="Times New Roman"/>
                      <w:sz w:val="20"/>
                      <w:szCs w:val="20"/>
                    </w:rPr>
                    <w:t>06 – 07 October 2017, Mećavnik – Drvengrad, Užice, Serbia</w:t>
                  </w:r>
                </w:p>
              </w:txbxContent>
            </v:textbox>
          </v:shape>
        </v:group>
      </w:pict>
    </w:r>
    <w:r w:rsidR="00E37C06">
      <w:rPr>
        <w:noProof/>
      </w:rPr>
      <w:drawing>
        <wp:anchor distT="0" distB="0" distL="114300" distR="114300" simplePos="0" relativeHeight="251660288" behindDoc="0" locked="0" layoutInCell="1" allowOverlap="1">
          <wp:simplePos x="0" y="0"/>
          <wp:positionH relativeFrom="column">
            <wp:posOffset>147955</wp:posOffset>
          </wp:positionH>
          <wp:positionV relativeFrom="paragraph">
            <wp:posOffset>-370205</wp:posOffset>
          </wp:positionV>
          <wp:extent cx="447040" cy="706120"/>
          <wp:effectExtent l="19050" t="0" r="0" b="0"/>
          <wp:wrapSquare wrapText="bothSides"/>
          <wp:docPr id="13"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srcRect/>
                  <a:stretch>
                    <a:fillRect/>
                  </a:stretch>
                </pic:blipFill>
                <pic:spPr bwMode="auto">
                  <a:xfrm>
                    <a:off x="0" y="0"/>
                    <a:ext cx="447040" cy="706120"/>
                  </a:xfrm>
                  <a:prstGeom prst="rect">
                    <a:avLst/>
                  </a:prstGeom>
                  <a:noFill/>
                  <a:ln w="9525">
                    <a:noFill/>
                    <a:miter lim="800000"/>
                    <a:headEnd/>
                    <a:tailEnd/>
                  </a:ln>
                </pic:spPr>
              </pic:pic>
            </a:graphicData>
          </a:graphic>
        </wp:anchor>
      </w:drawing>
    </w:r>
  </w:p>
  <w:p w:rsidR="00E37C06" w:rsidRDefault="00E37C06" w:rsidP="00E37C06">
    <w:pPr>
      <w:pStyle w:val="Header"/>
    </w:pPr>
  </w:p>
  <w:p w:rsidR="00E37C06" w:rsidRDefault="00E37C06" w:rsidP="00E37C0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5694"/>
    <w:multiLevelType w:val="multilevel"/>
    <w:tmpl w:val="669AA90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upperLetter"/>
      <w:pStyle w:val="Heading3"/>
      <w:lvlText w:val="%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0BD80DCE"/>
    <w:multiLevelType w:val="hybridMultilevel"/>
    <w:tmpl w:val="AEF0BB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CA86CAC"/>
    <w:multiLevelType w:val="hybridMultilevel"/>
    <w:tmpl w:val="C12AE3B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0EE456E"/>
    <w:multiLevelType w:val="hybridMultilevel"/>
    <w:tmpl w:val="7A382E3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5D211119"/>
    <w:multiLevelType w:val="hybridMultilevel"/>
    <w:tmpl w:val="9EAEE71C"/>
    <w:lvl w:ilvl="0" w:tplc="C476955E">
      <w:start w:val="1"/>
      <w:numFmt w:val="decimal"/>
      <w:lvlText w:val="%1."/>
      <w:lvlJc w:val="left"/>
      <w:pPr>
        <w:tabs>
          <w:tab w:val="num" w:pos="720"/>
        </w:tabs>
        <w:ind w:left="720" w:hanging="360"/>
      </w:pPr>
      <w:rPr>
        <w:rFonts w:ascii="Times New Roman" w:hAnsi="Times New Roman" w:hint="default"/>
        <w:b w:val="0"/>
        <w:i w:val="0"/>
        <w:sz w:val="20"/>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savePreviewPicture/>
  <w:hdrShapeDefaults>
    <o:shapedefaults v:ext="edit" spidmax="12290"/>
    <o:shapelayout v:ext="edit">
      <o:idmap v:ext="edit" data="3"/>
      <o:rules v:ext="edit">
        <o:r id="V:Rule2" type="connector" idref="#AutoShape 2"/>
      </o:rules>
    </o:shapelayout>
  </w:hdrShapeDefaults>
  <w:footnotePr>
    <w:footnote w:id="0"/>
    <w:footnote w:id="1"/>
  </w:footnotePr>
  <w:endnotePr>
    <w:endnote w:id="0"/>
    <w:endnote w:id="1"/>
  </w:endnotePr>
  <w:compat/>
  <w:rsids>
    <w:rsidRoot w:val="00725C5D"/>
    <w:rsid w:val="000333F4"/>
    <w:rsid w:val="00050BC9"/>
    <w:rsid w:val="0007403A"/>
    <w:rsid w:val="000F0A25"/>
    <w:rsid w:val="000F20FC"/>
    <w:rsid w:val="000F5682"/>
    <w:rsid w:val="00101134"/>
    <w:rsid w:val="001171AF"/>
    <w:rsid w:val="001B1034"/>
    <w:rsid w:val="001D10BF"/>
    <w:rsid w:val="002116FE"/>
    <w:rsid w:val="002E4140"/>
    <w:rsid w:val="003239C7"/>
    <w:rsid w:val="00332E2B"/>
    <w:rsid w:val="00381E93"/>
    <w:rsid w:val="003B0AA8"/>
    <w:rsid w:val="00417821"/>
    <w:rsid w:val="00515E91"/>
    <w:rsid w:val="005B471C"/>
    <w:rsid w:val="00601E78"/>
    <w:rsid w:val="00642673"/>
    <w:rsid w:val="006A7E5A"/>
    <w:rsid w:val="00725C5D"/>
    <w:rsid w:val="007872FC"/>
    <w:rsid w:val="007B10D7"/>
    <w:rsid w:val="00847A6B"/>
    <w:rsid w:val="008D34B4"/>
    <w:rsid w:val="008F5D47"/>
    <w:rsid w:val="00906060"/>
    <w:rsid w:val="0098163F"/>
    <w:rsid w:val="00A109E2"/>
    <w:rsid w:val="00A60568"/>
    <w:rsid w:val="00A927E9"/>
    <w:rsid w:val="00A9646F"/>
    <w:rsid w:val="00AA6A0B"/>
    <w:rsid w:val="00AE40C0"/>
    <w:rsid w:val="00B26DBD"/>
    <w:rsid w:val="00B64A50"/>
    <w:rsid w:val="00C66D39"/>
    <w:rsid w:val="00CA2CD9"/>
    <w:rsid w:val="00CC50BB"/>
    <w:rsid w:val="00CC6C9B"/>
    <w:rsid w:val="00D3297C"/>
    <w:rsid w:val="00D4239D"/>
    <w:rsid w:val="00D4383A"/>
    <w:rsid w:val="00D534FD"/>
    <w:rsid w:val="00DE45CB"/>
    <w:rsid w:val="00E37C06"/>
    <w:rsid w:val="00E530D2"/>
    <w:rsid w:val="00EC7A3D"/>
    <w:rsid w:val="00EE11F4"/>
    <w:rsid w:val="00F255E2"/>
    <w:rsid w:val="00F3069D"/>
    <w:rsid w:val="00F60FD3"/>
    <w:rsid w:val="00FB353F"/>
    <w:rsid w:val="00FD68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5C5D"/>
    <w:rPr>
      <w:sz w:val="24"/>
      <w:szCs w:val="24"/>
    </w:rPr>
  </w:style>
  <w:style w:type="paragraph" w:styleId="Heading1">
    <w:name w:val="heading 1"/>
    <w:aliases w:val="IATED-Section"/>
    <w:next w:val="Normal"/>
    <w:qFormat/>
    <w:rsid w:val="00725C5D"/>
    <w:pPr>
      <w:keepNext/>
      <w:numPr>
        <w:numId w:val="2"/>
      </w:numPr>
      <w:spacing w:before="360" w:after="60"/>
      <w:outlineLvl w:val="0"/>
    </w:pPr>
    <w:rPr>
      <w:rFonts w:ascii="Arial" w:hAnsi="Arial"/>
      <w:b/>
      <w:bCs/>
      <w:caps/>
      <w:kern w:val="32"/>
      <w:sz w:val="24"/>
      <w:szCs w:val="32"/>
      <w:lang w:val="es-ES" w:eastAsia="es-ES"/>
    </w:rPr>
  </w:style>
  <w:style w:type="paragraph" w:styleId="Heading2">
    <w:name w:val="heading 2"/>
    <w:aliases w:val="IATED-Subsection"/>
    <w:next w:val="Normal"/>
    <w:qFormat/>
    <w:rsid w:val="00725C5D"/>
    <w:pPr>
      <w:keepNext/>
      <w:numPr>
        <w:ilvl w:val="1"/>
        <w:numId w:val="2"/>
      </w:numPr>
      <w:spacing w:before="240" w:after="60"/>
      <w:outlineLvl w:val="1"/>
    </w:pPr>
    <w:rPr>
      <w:rFonts w:ascii="Arial" w:hAnsi="Arial"/>
      <w:b/>
      <w:bCs/>
      <w:iCs/>
      <w:sz w:val="24"/>
      <w:szCs w:val="28"/>
      <w:lang w:val="es-ES" w:eastAsia="es-ES"/>
    </w:rPr>
  </w:style>
  <w:style w:type="paragraph" w:styleId="Heading3">
    <w:name w:val="heading 3"/>
    <w:aliases w:val="IATED-Subsubsection"/>
    <w:basedOn w:val="Normal"/>
    <w:next w:val="Normal"/>
    <w:link w:val="Heading3Char"/>
    <w:qFormat/>
    <w:rsid w:val="00725C5D"/>
    <w:pPr>
      <w:keepNext/>
      <w:numPr>
        <w:ilvl w:val="2"/>
        <w:numId w:val="2"/>
      </w:numPr>
      <w:spacing w:before="120" w:after="60"/>
      <w:jc w:val="both"/>
      <w:outlineLvl w:val="2"/>
    </w:pPr>
    <w:rPr>
      <w:rFonts w:ascii="Arial" w:hAnsi="Arial"/>
      <w:bCs/>
      <w:i/>
      <w:sz w:val="22"/>
      <w:szCs w:val="26"/>
      <w:lang w:val="es-ES" w:eastAsia="es-ES"/>
    </w:rPr>
  </w:style>
  <w:style w:type="paragraph" w:styleId="Heading4">
    <w:name w:val="heading 4"/>
    <w:basedOn w:val="Normal"/>
    <w:next w:val="Normal"/>
    <w:qFormat/>
    <w:rsid w:val="00725C5D"/>
    <w:pPr>
      <w:keepNext/>
      <w:numPr>
        <w:ilvl w:val="3"/>
        <w:numId w:val="2"/>
      </w:numPr>
      <w:spacing w:before="240" w:after="60"/>
      <w:jc w:val="both"/>
      <w:outlineLvl w:val="3"/>
    </w:pPr>
    <w:rPr>
      <w:rFonts w:ascii="Cambria" w:hAnsi="Cambria"/>
      <w:b/>
      <w:bCs/>
      <w:sz w:val="28"/>
      <w:szCs w:val="28"/>
      <w:lang w:val="es-ES" w:eastAsia="es-ES"/>
    </w:rPr>
  </w:style>
  <w:style w:type="paragraph" w:styleId="Heading5">
    <w:name w:val="heading 5"/>
    <w:basedOn w:val="Normal"/>
    <w:next w:val="Normal"/>
    <w:qFormat/>
    <w:rsid w:val="00725C5D"/>
    <w:pPr>
      <w:numPr>
        <w:ilvl w:val="4"/>
        <w:numId w:val="2"/>
      </w:numPr>
      <w:spacing w:before="240" w:after="60"/>
      <w:jc w:val="both"/>
      <w:outlineLvl w:val="4"/>
    </w:pPr>
    <w:rPr>
      <w:rFonts w:ascii="Cambria" w:hAnsi="Cambria"/>
      <w:b/>
      <w:bCs/>
      <w:i/>
      <w:iCs/>
      <w:sz w:val="26"/>
      <w:szCs w:val="26"/>
      <w:lang w:val="es-ES" w:eastAsia="es-ES"/>
    </w:rPr>
  </w:style>
  <w:style w:type="paragraph" w:styleId="Heading6">
    <w:name w:val="heading 6"/>
    <w:basedOn w:val="Normal"/>
    <w:next w:val="Normal"/>
    <w:qFormat/>
    <w:rsid w:val="00725C5D"/>
    <w:pPr>
      <w:numPr>
        <w:ilvl w:val="5"/>
        <w:numId w:val="2"/>
      </w:numPr>
      <w:spacing w:before="240" w:after="60"/>
      <w:jc w:val="both"/>
      <w:outlineLvl w:val="5"/>
    </w:pPr>
    <w:rPr>
      <w:rFonts w:ascii="Cambria" w:hAnsi="Cambria"/>
      <w:b/>
      <w:bCs/>
      <w:sz w:val="22"/>
      <w:szCs w:val="22"/>
      <w:lang w:val="es-ES" w:eastAsia="es-ES"/>
    </w:rPr>
  </w:style>
  <w:style w:type="paragraph" w:styleId="Heading7">
    <w:name w:val="heading 7"/>
    <w:basedOn w:val="Normal"/>
    <w:next w:val="Normal"/>
    <w:qFormat/>
    <w:rsid w:val="00725C5D"/>
    <w:pPr>
      <w:numPr>
        <w:ilvl w:val="6"/>
        <w:numId w:val="2"/>
      </w:numPr>
      <w:spacing w:before="240" w:after="60"/>
      <w:jc w:val="both"/>
      <w:outlineLvl w:val="6"/>
    </w:pPr>
    <w:rPr>
      <w:rFonts w:ascii="Cambria" w:hAnsi="Cambria"/>
      <w:sz w:val="20"/>
      <w:lang w:val="es-ES" w:eastAsia="es-ES"/>
    </w:rPr>
  </w:style>
  <w:style w:type="paragraph" w:styleId="Heading8">
    <w:name w:val="heading 8"/>
    <w:basedOn w:val="Normal"/>
    <w:next w:val="Normal"/>
    <w:qFormat/>
    <w:rsid w:val="00725C5D"/>
    <w:pPr>
      <w:numPr>
        <w:ilvl w:val="7"/>
        <w:numId w:val="2"/>
      </w:numPr>
      <w:spacing w:before="240" w:after="60"/>
      <w:jc w:val="both"/>
      <w:outlineLvl w:val="7"/>
    </w:pPr>
    <w:rPr>
      <w:rFonts w:ascii="Cambria" w:hAnsi="Cambria"/>
      <w:i/>
      <w:iCs/>
      <w:sz w:val="20"/>
      <w:lang w:val="es-ES" w:eastAsia="es-ES"/>
    </w:rPr>
  </w:style>
  <w:style w:type="paragraph" w:styleId="Heading9">
    <w:name w:val="heading 9"/>
    <w:basedOn w:val="Normal"/>
    <w:next w:val="Normal"/>
    <w:qFormat/>
    <w:rsid w:val="00725C5D"/>
    <w:pPr>
      <w:numPr>
        <w:ilvl w:val="8"/>
        <w:numId w:val="2"/>
      </w:numPr>
      <w:spacing w:before="240" w:after="60"/>
      <w:jc w:val="both"/>
      <w:outlineLvl w:val="8"/>
    </w:pPr>
    <w:rPr>
      <w:rFonts w:ascii="Calibri" w:hAnsi="Calibri"/>
      <w:sz w:val="22"/>
      <w:szCs w:val="22"/>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25C5D"/>
    <w:rPr>
      <w:color w:val="0000FF"/>
      <w:u w:val="single"/>
    </w:rPr>
  </w:style>
  <w:style w:type="paragraph" w:styleId="BodyText">
    <w:name w:val="Body Text"/>
    <w:basedOn w:val="Normal"/>
    <w:rsid w:val="00725C5D"/>
    <w:pPr>
      <w:spacing w:before="100" w:beforeAutospacing="1" w:after="100" w:afterAutospacing="1"/>
    </w:pPr>
  </w:style>
  <w:style w:type="paragraph" w:styleId="BodyText3">
    <w:name w:val="Body Text 3"/>
    <w:basedOn w:val="Normal"/>
    <w:rsid w:val="00725C5D"/>
    <w:pPr>
      <w:spacing w:after="120"/>
    </w:pPr>
    <w:rPr>
      <w:sz w:val="16"/>
      <w:szCs w:val="16"/>
    </w:rPr>
  </w:style>
  <w:style w:type="character" w:customStyle="1" w:styleId="Heading3Char">
    <w:name w:val="Heading 3 Char"/>
    <w:aliases w:val="IATED-Subsubsection Char"/>
    <w:link w:val="Heading3"/>
    <w:rsid w:val="00725C5D"/>
    <w:rPr>
      <w:rFonts w:ascii="Arial" w:hAnsi="Arial"/>
      <w:bCs/>
      <w:i/>
      <w:sz w:val="22"/>
      <w:szCs w:val="26"/>
      <w:lang w:val="es-ES" w:eastAsia="es-ES" w:bidi="ar-SA"/>
    </w:rPr>
  </w:style>
  <w:style w:type="paragraph" w:styleId="BodyTextIndent">
    <w:name w:val="Body Text Indent"/>
    <w:basedOn w:val="Normal"/>
    <w:rsid w:val="00D534FD"/>
    <w:pPr>
      <w:spacing w:after="120"/>
      <w:ind w:left="283"/>
    </w:pPr>
  </w:style>
  <w:style w:type="paragraph" w:styleId="BodyText2">
    <w:name w:val="Body Text 2"/>
    <w:basedOn w:val="Normal"/>
    <w:rsid w:val="00D534FD"/>
    <w:pPr>
      <w:spacing w:after="120" w:line="480" w:lineRule="auto"/>
    </w:pPr>
  </w:style>
  <w:style w:type="paragraph" w:customStyle="1" w:styleId="text">
    <w:name w:val="text"/>
    <w:basedOn w:val="Normal"/>
    <w:rsid w:val="00D534FD"/>
    <w:pPr>
      <w:suppressAutoHyphens/>
      <w:spacing w:line="360" w:lineRule="auto"/>
      <w:jc w:val="both"/>
    </w:pPr>
    <w:rPr>
      <w:rFonts w:ascii="Arial2" w:hAnsi="Arial2"/>
      <w:spacing w:val="-3"/>
      <w:sz w:val="26"/>
      <w:szCs w:val="20"/>
    </w:rPr>
  </w:style>
  <w:style w:type="paragraph" w:styleId="BalloonText">
    <w:name w:val="Balloon Text"/>
    <w:basedOn w:val="Normal"/>
    <w:link w:val="BalloonTextChar"/>
    <w:rsid w:val="00F3069D"/>
    <w:rPr>
      <w:rFonts w:ascii="Tahoma" w:hAnsi="Tahoma" w:cs="Tahoma"/>
      <w:sz w:val="16"/>
      <w:szCs w:val="16"/>
    </w:rPr>
  </w:style>
  <w:style w:type="character" w:customStyle="1" w:styleId="BalloonTextChar">
    <w:name w:val="Balloon Text Char"/>
    <w:basedOn w:val="DefaultParagraphFont"/>
    <w:link w:val="BalloonText"/>
    <w:rsid w:val="00F3069D"/>
    <w:rPr>
      <w:rFonts w:ascii="Tahoma" w:hAnsi="Tahoma" w:cs="Tahoma"/>
      <w:sz w:val="16"/>
      <w:szCs w:val="16"/>
    </w:rPr>
  </w:style>
  <w:style w:type="paragraph" w:styleId="Header">
    <w:name w:val="header"/>
    <w:basedOn w:val="Normal"/>
    <w:link w:val="HeaderChar"/>
    <w:uiPriority w:val="99"/>
    <w:rsid w:val="000F0A25"/>
    <w:pPr>
      <w:tabs>
        <w:tab w:val="center" w:pos="4680"/>
        <w:tab w:val="right" w:pos="9360"/>
      </w:tabs>
    </w:pPr>
  </w:style>
  <w:style w:type="character" w:customStyle="1" w:styleId="HeaderChar">
    <w:name w:val="Header Char"/>
    <w:basedOn w:val="DefaultParagraphFont"/>
    <w:link w:val="Header"/>
    <w:uiPriority w:val="99"/>
    <w:rsid w:val="000F0A25"/>
    <w:rPr>
      <w:sz w:val="24"/>
      <w:szCs w:val="24"/>
    </w:rPr>
  </w:style>
  <w:style w:type="paragraph" w:styleId="Footer">
    <w:name w:val="footer"/>
    <w:basedOn w:val="Normal"/>
    <w:link w:val="FooterChar"/>
    <w:uiPriority w:val="99"/>
    <w:rsid w:val="000F0A25"/>
    <w:pPr>
      <w:tabs>
        <w:tab w:val="center" w:pos="4680"/>
        <w:tab w:val="right" w:pos="9360"/>
      </w:tabs>
    </w:pPr>
  </w:style>
  <w:style w:type="character" w:customStyle="1" w:styleId="FooterChar">
    <w:name w:val="Footer Char"/>
    <w:basedOn w:val="DefaultParagraphFont"/>
    <w:link w:val="Footer"/>
    <w:uiPriority w:val="99"/>
    <w:rsid w:val="000F0A25"/>
    <w:rPr>
      <w:sz w:val="24"/>
      <w:szCs w:val="24"/>
    </w:rPr>
  </w:style>
  <w:style w:type="paragraph" w:styleId="NoSpacing">
    <w:name w:val="No Spacing"/>
    <w:uiPriority w:val="1"/>
    <w:qFormat/>
    <w:rsid w:val="000F0A25"/>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hart" Target="charts/chart4.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perspective val="0"/>
    </c:view3D>
    <c:plotArea>
      <c:layout>
        <c:manualLayout>
          <c:layoutTarget val="inner"/>
          <c:xMode val="edge"/>
          <c:yMode val="edge"/>
          <c:x val="0.28220858895705614"/>
          <c:y val="0.35922330097087463"/>
          <c:w val="0.43558282208589089"/>
          <c:h val="0.28155339805825241"/>
        </c:manualLayout>
      </c:layout>
      <c:pie3DChart>
        <c:varyColors val="1"/>
        <c:ser>
          <c:idx val="0"/>
          <c:order val="0"/>
          <c:spPr>
            <a:solidFill>
              <a:srgbClr val="9999FF"/>
            </a:solidFill>
            <a:ln w="12699">
              <a:solidFill>
                <a:srgbClr val="000000"/>
              </a:solidFill>
              <a:prstDash val="solid"/>
            </a:ln>
          </c:spPr>
          <c:explosion val="25"/>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Pt>
            <c:idx val="6"/>
            <c:spPr>
              <a:solidFill>
                <a:srgbClr val="0066CC"/>
              </a:solidFill>
              <a:ln w="12699">
                <a:solidFill>
                  <a:srgbClr val="000000"/>
                </a:solidFill>
                <a:prstDash val="solid"/>
              </a:ln>
            </c:spPr>
          </c:dPt>
          <c:dPt>
            <c:idx val="7"/>
            <c:spPr>
              <a:solidFill>
                <a:srgbClr val="CCCCFF"/>
              </a:solidFill>
              <a:ln w="12699">
                <a:solidFill>
                  <a:srgbClr val="000000"/>
                </a:solidFill>
                <a:prstDash val="solid"/>
              </a:ln>
            </c:spPr>
          </c:dPt>
          <c:dPt>
            <c:idx val="8"/>
            <c:spPr>
              <a:solidFill>
                <a:srgbClr val="000080"/>
              </a:solidFill>
              <a:ln w="12699">
                <a:solidFill>
                  <a:srgbClr val="000000"/>
                </a:solidFill>
                <a:prstDash val="solid"/>
              </a:ln>
            </c:spPr>
          </c:dPt>
          <c:dPt>
            <c:idx val="9"/>
            <c:spPr>
              <a:solidFill>
                <a:srgbClr val="FF00FF"/>
              </a:solidFill>
              <a:ln w="12699">
                <a:solidFill>
                  <a:srgbClr val="000000"/>
                </a:solidFill>
                <a:prstDash val="solid"/>
              </a:ln>
            </c:spPr>
          </c:dPt>
          <c:dPt>
            <c:idx val="10"/>
            <c:spPr>
              <a:solidFill>
                <a:srgbClr val="FFFF00"/>
              </a:solidFill>
              <a:ln w="12699">
                <a:solidFill>
                  <a:srgbClr val="000000"/>
                </a:solidFill>
                <a:prstDash val="solid"/>
              </a:ln>
            </c:spPr>
          </c:dPt>
          <c:dPt>
            <c:idx val="11"/>
            <c:spPr>
              <a:solidFill>
                <a:srgbClr val="00FFFF"/>
              </a:solidFill>
              <a:ln w="12699">
                <a:solidFill>
                  <a:srgbClr val="000000"/>
                </a:solidFill>
                <a:prstDash val="solid"/>
              </a:ln>
            </c:spPr>
          </c:dPt>
          <c:dPt>
            <c:idx val="12"/>
            <c:spPr>
              <a:solidFill>
                <a:srgbClr val="800080"/>
              </a:solidFill>
              <a:ln w="12699">
                <a:solidFill>
                  <a:srgbClr val="000000"/>
                </a:solidFill>
                <a:prstDash val="solid"/>
              </a:ln>
            </c:spPr>
          </c:dPt>
          <c:dLbls>
            <c:dLbl>
              <c:idx val="0"/>
              <c:layout>
                <c:manualLayout>
                  <c:x val="-5.0337697597513092E-3"/>
                  <c:y val="-0.19555070390367474"/>
                </c:manualLayout>
              </c:layout>
              <c:tx>
                <c:rich>
                  <a:bodyPr/>
                  <a:lstStyle/>
                  <a:p>
                    <a:pPr>
                      <a:defRPr sz="275" b="0" i="0" u="none" strike="noStrike" baseline="0">
                        <a:solidFill>
                          <a:srgbClr val="000000"/>
                        </a:solidFill>
                        <a:latin typeface="Arial"/>
                        <a:ea typeface="Arial"/>
                        <a:cs typeface="Arial"/>
                      </a:defRPr>
                    </a:pPr>
                    <a:r>
                      <a:rPr lang="en-US"/>
                      <a:t>5%
10</a:t>
                    </a:r>
                  </a:p>
                </c:rich>
              </c:tx>
              <c:spPr>
                <a:noFill/>
                <a:ln w="25399">
                  <a:noFill/>
                </a:ln>
              </c:spPr>
              <c:dLblPos val="bestFit"/>
            </c:dLbl>
            <c:dLbl>
              <c:idx val="1"/>
              <c:tx>
                <c:rich>
                  <a:bodyPr/>
                  <a:lstStyle/>
                  <a:p>
                    <a:pPr>
                      <a:defRPr sz="275" b="0" i="0" u="none" strike="noStrike" baseline="0">
                        <a:solidFill>
                          <a:srgbClr val="000000"/>
                        </a:solidFill>
                        <a:latin typeface="Arial"/>
                        <a:ea typeface="Arial"/>
                        <a:cs typeface="Arial"/>
                      </a:defRPr>
                    </a:pPr>
                    <a:r>
                      <a:rPr lang="en-US"/>
                      <a:t>6%
12.5 </a:t>
                    </a:r>
                  </a:p>
                </c:rich>
              </c:tx>
              <c:spPr>
                <a:noFill/>
                <a:ln w="25399">
                  <a:noFill/>
                </a:ln>
              </c:spPr>
            </c:dLbl>
            <c:dLbl>
              <c:idx val="2"/>
              <c:tx>
                <c:rich>
                  <a:bodyPr/>
                  <a:lstStyle/>
                  <a:p>
                    <a:pPr>
                      <a:defRPr sz="275" b="0" i="0" u="none" strike="noStrike" baseline="0">
                        <a:solidFill>
                          <a:srgbClr val="000000"/>
                        </a:solidFill>
                        <a:latin typeface="Arial"/>
                        <a:ea typeface="Arial"/>
                        <a:cs typeface="Arial"/>
                      </a:defRPr>
                    </a:pPr>
                    <a:r>
                      <a:rPr lang="en-US"/>
                      <a:t>7%
17.5</a:t>
                    </a:r>
                  </a:p>
                </c:rich>
              </c:tx>
              <c:spPr>
                <a:noFill/>
                <a:ln w="25399">
                  <a:noFill/>
                </a:ln>
              </c:spPr>
            </c:dLbl>
            <c:dLbl>
              <c:idx val="3"/>
              <c:tx>
                <c:rich>
                  <a:bodyPr/>
                  <a:lstStyle/>
                  <a:p>
                    <a:pPr>
                      <a:defRPr sz="275" b="0" i="0" u="none" strike="noStrike" baseline="0">
                        <a:solidFill>
                          <a:srgbClr val="000000"/>
                        </a:solidFill>
                        <a:latin typeface="Arial"/>
                        <a:ea typeface="Arial"/>
                        <a:cs typeface="Arial"/>
                      </a:defRPr>
                    </a:pPr>
                    <a:r>
                      <a:rPr lang="en-US"/>
                      <a:t>20%
22.5</a:t>
                    </a:r>
                  </a:p>
                </c:rich>
              </c:tx>
              <c:spPr>
                <a:noFill/>
                <a:ln w="25399">
                  <a:noFill/>
                </a:ln>
              </c:spPr>
            </c:dLbl>
            <c:dLbl>
              <c:idx val="4"/>
              <c:tx>
                <c:rich>
                  <a:bodyPr/>
                  <a:lstStyle/>
                  <a:p>
                    <a:pPr>
                      <a:defRPr sz="275" b="0" i="0" u="none" strike="noStrike" baseline="0">
                        <a:solidFill>
                          <a:srgbClr val="000000"/>
                        </a:solidFill>
                        <a:latin typeface="Arial"/>
                        <a:ea typeface="Arial"/>
                        <a:cs typeface="Arial"/>
                      </a:defRPr>
                    </a:pPr>
                    <a:r>
                      <a:rPr lang="en-US"/>
                      <a:t>16%
27.5</a:t>
                    </a:r>
                  </a:p>
                </c:rich>
              </c:tx>
              <c:spPr>
                <a:noFill/>
                <a:ln w="25399">
                  <a:noFill/>
                </a:ln>
              </c:spPr>
            </c:dLbl>
            <c:dLbl>
              <c:idx val="5"/>
              <c:tx>
                <c:rich>
                  <a:bodyPr/>
                  <a:lstStyle/>
                  <a:p>
                    <a:pPr>
                      <a:defRPr sz="275" b="0" i="0" u="none" strike="noStrike" baseline="0">
                        <a:solidFill>
                          <a:srgbClr val="000000"/>
                        </a:solidFill>
                        <a:latin typeface="Arial"/>
                        <a:ea typeface="Arial"/>
                        <a:cs typeface="Arial"/>
                      </a:defRPr>
                    </a:pPr>
                    <a:r>
                      <a:rPr lang="en-US"/>
                      <a:t>15%
32.5</a:t>
                    </a:r>
                  </a:p>
                </c:rich>
              </c:tx>
              <c:spPr>
                <a:noFill/>
                <a:ln w="25399">
                  <a:noFill/>
                </a:ln>
              </c:spPr>
            </c:dLbl>
            <c:dLbl>
              <c:idx val="6"/>
              <c:layout>
                <c:manualLayout>
                  <c:x val="-1.580127273526178E-2"/>
                  <c:y val="-3.0975680593745801E-2"/>
                </c:manualLayout>
              </c:layout>
              <c:tx>
                <c:rich>
                  <a:bodyPr/>
                  <a:lstStyle/>
                  <a:p>
                    <a:pPr>
                      <a:defRPr sz="275" b="0" i="0" u="none" strike="noStrike" baseline="0">
                        <a:solidFill>
                          <a:srgbClr val="000000"/>
                        </a:solidFill>
                        <a:latin typeface="Arial"/>
                        <a:ea typeface="Arial"/>
                        <a:cs typeface="Arial"/>
                      </a:defRPr>
                    </a:pPr>
                    <a:r>
                      <a:rPr lang="en-US"/>
                      <a:t>6%
37.5</a:t>
                    </a:r>
                  </a:p>
                </c:rich>
              </c:tx>
              <c:spPr>
                <a:noFill/>
                <a:ln w="25399">
                  <a:noFill/>
                </a:ln>
              </c:spPr>
              <c:dLblPos val="bestFit"/>
            </c:dLbl>
            <c:dLbl>
              <c:idx val="7"/>
              <c:layout>
                <c:manualLayout>
                  <c:x val="-4.4081529946013831E-2"/>
                  <c:y val="-6.0032069651065584E-2"/>
                </c:manualLayout>
              </c:layout>
              <c:tx>
                <c:rich>
                  <a:bodyPr/>
                  <a:lstStyle/>
                  <a:p>
                    <a:pPr>
                      <a:defRPr sz="275" b="0" i="0" u="none" strike="noStrike" baseline="0">
                        <a:solidFill>
                          <a:srgbClr val="000000"/>
                        </a:solidFill>
                        <a:latin typeface="Arial"/>
                        <a:ea typeface="Arial"/>
                        <a:cs typeface="Arial"/>
                      </a:defRPr>
                    </a:pPr>
                    <a:r>
                      <a:rPr lang="en-US"/>
                      <a:t>8%
42.5</a:t>
                    </a:r>
                  </a:p>
                </c:rich>
              </c:tx>
              <c:spPr>
                <a:noFill/>
                <a:ln w="25399">
                  <a:noFill/>
                </a:ln>
              </c:spPr>
              <c:dLblPos val="bestFit"/>
            </c:dLbl>
            <c:dLbl>
              <c:idx val="8"/>
              <c:layout>
                <c:manualLayout>
                  <c:x val="-3.4074687840894194E-2"/>
                  <c:y val="-0.15027428874050094"/>
                </c:manualLayout>
              </c:layout>
              <c:tx>
                <c:rich>
                  <a:bodyPr/>
                  <a:lstStyle/>
                  <a:p>
                    <a:pPr>
                      <a:defRPr sz="275" b="0" i="0" u="none" strike="noStrike" baseline="0">
                        <a:solidFill>
                          <a:srgbClr val="000000"/>
                        </a:solidFill>
                        <a:latin typeface="Arial"/>
                        <a:ea typeface="Arial"/>
                        <a:cs typeface="Arial"/>
                      </a:defRPr>
                    </a:pPr>
                    <a:r>
                      <a:rPr lang="en-US"/>
                      <a:t>5%
47.5</a:t>
                    </a:r>
                  </a:p>
                </c:rich>
              </c:tx>
              <c:spPr>
                <a:noFill/>
                <a:ln w="25399">
                  <a:noFill/>
                </a:ln>
              </c:spPr>
              <c:dLblPos val="bestFit"/>
            </c:dLbl>
            <c:dLbl>
              <c:idx val="9"/>
              <c:layout>
                <c:manualLayout>
                  <c:x val="-6.344244403159782E-4"/>
                  <c:y val="-0.19623189988545681"/>
                </c:manualLayout>
              </c:layout>
              <c:tx>
                <c:rich>
                  <a:bodyPr/>
                  <a:lstStyle/>
                  <a:p>
                    <a:pPr>
                      <a:defRPr sz="275" b="0" i="0" u="none" strike="noStrike" baseline="0">
                        <a:solidFill>
                          <a:srgbClr val="000000"/>
                        </a:solidFill>
                        <a:latin typeface="Arial"/>
                        <a:ea typeface="Arial"/>
                        <a:cs typeface="Arial"/>
                      </a:defRPr>
                    </a:pPr>
                    <a:r>
                      <a:rPr lang="en-US"/>
                      <a:t>4%
52.5</a:t>
                    </a:r>
                  </a:p>
                </c:rich>
              </c:tx>
              <c:spPr>
                <a:noFill/>
                <a:ln w="25399">
                  <a:noFill/>
                </a:ln>
              </c:spPr>
              <c:dLblPos val="bestFit"/>
            </c:dLbl>
            <c:dLbl>
              <c:idx val="10"/>
              <c:layout>
                <c:manualLayout>
                  <c:x val="-1.990924317366551E-4"/>
                  <c:y val="-0.15891253145910636"/>
                </c:manualLayout>
              </c:layout>
              <c:tx>
                <c:rich>
                  <a:bodyPr/>
                  <a:lstStyle/>
                  <a:p>
                    <a:pPr>
                      <a:defRPr sz="275" b="0" i="0" u="none" strike="noStrike" baseline="0">
                        <a:solidFill>
                          <a:srgbClr val="000000"/>
                        </a:solidFill>
                        <a:latin typeface="Arial"/>
                        <a:ea typeface="Arial"/>
                        <a:cs typeface="Arial"/>
                      </a:defRPr>
                    </a:pPr>
                    <a:r>
                      <a:rPr lang="en-US"/>
                      <a:t>3%
57.5</a:t>
                    </a:r>
                  </a:p>
                </c:rich>
              </c:tx>
              <c:spPr>
                <a:noFill/>
                <a:ln w="25399">
                  <a:noFill/>
                </a:ln>
              </c:spPr>
              <c:dLblPos val="bestFit"/>
            </c:dLbl>
            <c:dLbl>
              <c:idx val="11"/>
              <c:layout>
                <c:manualLayout>
                  <c:x val="9.8006319190344915E-3"/>
                  <c:y val="-0.1476525860607652"/>
                </c:manualLayout>
              </c:layout>
              <c:tx>
                <c:rich>
                  <a:bodyPr/>
                  <a:lstStyle/>
                  <a:p>
                    <a:pPr>
                      <a:defRPr sz="275" b="0" i="0" u="none" strike="noStrike" baseline="0">
                        <a:solidFill>
                          <a:srgbClr val="000000"/>
                        </a:solidFill>
                        <a:latin typeface="Arial"/>
                        <a:ea typeface="Arial"/>
                        <a:cs typeface="Arial"/>
                      </a:defRPr>
                    </a:pPr>
                    <a:r>
                      <a:rPr lang="en-US"/>
                      <a:t>3%
62.5</a:t>
                    </a:r>
                  </a:p>
                </c:rich>
              </c:tx>
              <c:spPr>
                <a:noFill/>
                <a:ln w="25399">
                  <a:noFill/>
                </a:ln>
              </c:spPr>
              <c:dLblPos val="bestFit"/>
            </c:dLbl>
            <c:dLbl>
              <c:idx val="12"/>
              <c:layout>
                <c:manualLayout>
                  <c:x val="1.515157296093942E-2"/>
                  <c:y val="-0.15601931776257025"/>
                </c:manualLayout>
              </c:layout>
              <c:tx>
                <c:rich>
                  <a:bodyPr/>
                  <a:lstStyle/>
                  <a:p>
                    <a:pPr>
                      <a:defRPr sz="275" b="0" i="0" u="none" strike="noStrike" baseline="0">
                        <a:solidFill>
                          <a:srgbClr val="000000"/>
                        </a:solidFill>
                        <a:latin typeface="Arial"/>
                        <a:ea typeface="Arial"/>
                        <a:cs typeface="Arial"/>
                      </a:defRPr>
                    </a:pPr>
                    <a:r>
                      <a:rPr lang="en-US"/>
                      <a:t>2%
67.5</a:t>
                    </a:r>
                  </a:p>
                </c:rich>
              </c:tx>
              <c:spPr>
                <a:noFill/>
                <a:ln w="25399">
                  <a:noFill/>
                </a:ln>
              </c:spPr>
              <c:dLblPos val="bestFit"/>
            </c:dLbl>
            <c:numFmt formatCode="0%" sourceLinked="0"/>
            <c:spPr>
              <a:noFill/>
              <a:ln w="25399">
                <a:noFill/>
              </a:ln>
            </c:spPr>
            <c:txPr>
              <a:bodyPr/>
              <a:lstStyle/>
              <a:p>
                <a:pPr>
                  <a:defRPr sz="275" b="0" i="0" u="none" strike="noStrike" baseline="0">
                    <a:solidFill>
                      <a:srgbClr val="000000"/>
                    </a:solidFill>
                    <a:latin typeface="Arial"/>
                    <a:ea typeface="Arial"/>
                    <a:cs typeface="Arial"/>
                  </a:defRPr>
                </a:pPr>
                <a:endParaRPr lang="en-US"/>
              </a:p>
            </c:txPr>
            <c:showPercent val="1"/>
            <c:showLeaderLines val="1"/>
          </c:dLbls>
          <c:val>
            <c:numRef>
              <c:f>Sheet1!$A$2:$M$2</c:f>
              <c:numCache>
                <c:formatCode>0%</c:formatCode>
                <c:ptCount val="13"/>
                <c:pt idx="0">
                  <c:v>0.05</c:v>
                </c:pt>
                <c:pt idx="1">
                  <c:v>6.0000000000000032E-2</c:v>
                </c:pt>
                <c:pt idx="2">
                  <c:v>7.0000000000000021E-2</c:v>
                </c:pt>
                <c:pt idx="3">
                  <c:v>0.2</c:v>
                </c:pt>
                <c:pt idx="4">
                  <c:v>0.16</c:v>
                </c:pt>
                <c:pt idx="5">
                  <c:v>0.15000000000000024</c:v>
                </c:pt>
                <c:pt idx="6">
                  <c:v>6.0000000000000032E-2</c:v>
                </c:pt>
                <c:pt idx="7">
                  <c:v>8.0000000000000043E-2</c:v>
                </c:pt>
                <c:pt idx="8">
                  <c:v>0.05</c:v>
                </c:pt>
                <c:pt idx="9">
                  <c:v>4.0000000000000022E-2</c:v>
                </c:pt>
                <c:pt idx="10">
                  <c:v>3.0000000000000002E-2</c:v>
                </c:pt>
                <c:pt idx="11">
                  <c:v>3.0000000000000002E-2</c:v>
                </c:pt>
                <c:pt idx="12">
                  <c:v>2.0000000000000011E-2</c:v>
                </c:pt>
              </c:numCache>
            </c:numRef>
          </c:val>
        </c:ser>
        <c:dLbls>
          <c:showPercent val="1"/>
        </c:dLbls>
      </c:pie3DChart>
      <c:spPr>
        <a:noFill/>
        <a:ln w="25399">
          <a:noFill/>
        </a:ln>
      </c:spPr>
    </c:plotArea>
    <c:plotVisOnly val="1"/>
    <c:dispBlanksAs val="zero"/>
  </c:chart>
  <c:spPr>
    <a:solidFill>
      <a:srgbClr val="FFFFFF"/>
    </a:solidFill>
    <a:ln w="3175">
      <a:solidFill>
        <a:srgbClr val="000000"/>
      </a:solidFill>
      <a:prstDash val="solid"/>
    </a:ln>
  </c:spPr>
  <c:txPr>
    <a:bodyPr/>
    <a:lstStyle/>
    <a:p>
      <a:pPr>
        <a:defRPr sz="35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perspective val="0"/>
    </c:view3D>
    <c:plotArea>
      <c:layout>
        <c:manualLayout>
          <c:layoutTarget val="inner"/>
          <c:xMode val="edge"/>
          <c:yMode val="edge"/>
          <c:x val="0.28813559322033899"/>
          <c:y val="0.35922330097087463"/>
          <c:w val="0.41807909604519772"/>
          <c:h val="0.28155339805825241"/>
        </c:manualLayout>
      </c:layout>
      <c:pie3DChart>
        <c:varyColors val="1"/>
        <c:ser>
          <c:idx val="0"/>
          <c:order val="0"/>
          <c:spPr>
            <a:solidFill>
              <a:srgbClr val="9999FF"/>
            </a:solidFill>
            <a:ln w="12699">
              <a:solidFill>
                <a:srgbClr val="000000"/>
              </a:solidFill>
              <a:prstDash val="solid"/>
            </a:ln>
          </c:spPr>
          <c:explosion val="25"/>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Pt>
            <c:idx val="6"/>
            <c:spPr>
              <a:solidFill>
                <a:srgbClr val="0066CC"/>
              </a:solidFill>
              <a:ln w="12699">
                <a:solidFill>
                  <a:srgbClr val="000000"/>
                </a:solidFill>
                <a:prstDash val="solid"/>
              </a:ln>
            </c:spPr>
          </c:dPt>
          <c:dPt>
            <c:idx val="7"/>
            <c:spPr>
              <a:solidFill>
                <a:srgbClr val="CCCCFF"/>
              </a:solidFill>
              <a:ln w="12699">
                <a:solidFill>
                  <a:srgbClr val="000000"/>
                </a:solidFill>
                <a:prstDash val="solid"/>
              </a:ln>
            </c:spPr>
          </c:dPt>
          <c:dPt>
            <c:idx val="8"/>
            <c:spPr>
              <a:solidFill>
                <a:srgbClr val="000080"/>
              </a:solidFill>
              <a:ln w="12699">
                <a:solidFill>
                  <a:srgbClr val="000000"/>
                </a:solidFill>
                <a:prstDash val="solid"/>
              </a:ln>
            </c:spPr>
          </c:dPt>
          <c:dPt>
            <c:idx val="9"/>
            <c:spPr>
              <a:solidFill>
                <a:srgbClr val="FF00FF"/>
              </a:solidFill>
              <a:ln w="12699">
                <a:solidFill>
                  <a:srgbClr val="000000"/>
                </a:solidFill>
                <a:prstDash val="solid"/>
              </a:ln>
            </c:spPr>
          </c:dPt>
          <c:dPt>
            <c:idx val="10"/>
            <c:spPr>
              <a:solidFill>
                <a:srgbClr val="FFFF00"/>
              </a:solidFill>
              <a:ln w="12699">
                <a:solidFill>
                  <a:srgbClr val="000000"/>
                </a:solidFill>
                <a:prstDash val="solid"/>
              </a:ln>
            </c:spPr>
          </c:dPt>
          <c:dPt>
            <c:idx val="11"/>
            <c:spPr>
              <a:solidFill>
                <a:srgbClr val="00FFFF"/>
              </a:solidFill>
              <a:ln w="12699">
                <a:solidFill>
                  <a:srgbClr val="000000"/>
                </a:solidFill>
                <a:prstDash val="solid"/>
              </a:ln>
            </c:spPr>
          </c:dPt>
          <c:dLbls>
            <c:dLbl>
              <c:idx val="0"/>
              <c:tx>
                <c:rich>
                  <a:bodyPr/>
                  <a:lstStyle/>
                  <a:p>
                    <a:pPr>
                      <a:defRPr sz="275" b="0" i="0" u="none" strike="noStrike" baseline="0">
                        <a:solidFill>
                          <a:srgbClr val="000000"/>
                        </a:solidFill>
                        <a:latin typeface="Arial"/>
                        <a:ea typeface="Arial"/>
                        <a:cs typeface="Arial"/>
                      </a:defRPr>
                    </a:pPr>
                    <a:r>
                      <a:rPr lang="en-US"/>
                      <a:t>5%
10</a:t>
                    </a:r>
                  </a:p>
                </c:rich>
              </c:tx>
              <c:spPr>
                <a:noFill/>
                <a:ln w="25399">
                  <a:noFill/>
                </a:ln>
              </c:spPr>
            </c:dLbl>
            <c:dLbl>
              <c:idx val="1"/>
              <c:tx>
                <c:rich>
                  <a:bodyPr/>
                  <a:lstStyle/>
                  <a:p>
                    <a:pPr>
                      <a:defRPr sz="275" b="0" i="0" u="none" strike="noStrike" baseline="0">
                        <a:solidFill>
                          <a:srgbClr val="000000"/>
                        </a:solidFill>
                        <a:latin typeface="Arial"/>
                        <a:ea typeface="Arial"/>
                        <a:cs typeface="Arial"/>
                      </a:defRPr>
                    </a:pPr>
                    <a:r>
                      <a:rPr lang="en-US"/>
                      <a:t>21%
15</a:t>
                    </a:r>
                  </a:p>
                </c:rich>
              </c:tx>
              <c:spPr>
                <a:noFill/>
                <a:ln w="25399">
                  <a:noFill/>
                </a:ln>
              </c:spPr>
            </c:dLbl>
            <c:dLbl>
              <c:idx val="2"/>
              <c:tx>
                <c:rich>
                  <a:bodyPr/>
                  <a:lstStyle/>
                  <a:p>
                    <a:pPr>
                      <a:defRPr sz="275" b="0" i="0" u="none" strike="noStrike" baseline="0">
                        <a:solidFill>
                          <a:srgbClr val="000000"/>
                        </a:solidFill>
                        <a:latin typeface="Arial"/>
                        <a:ea typeface="Arial"/>
                        <a:cs typeface="Arial"/>
                      </a:defRPr>
                    </a:pPr>
                    <a:r>
                      <a:rPr lang="en-US"/>
                      <a:t>23%
25</a:t>
                    </a:r>
                  </a:p>
                </c:rich>
              </c:tx>
              <c:spPr>
                <a:noFill/>
                <a:ln w="25399">
                  <a:noFill/>
                </a:ln>
              </c:spPr>
            </c:dLbl>
            <c:dLbl>
              <c:idx val="3"/>
              <c:tx>
                <c:rich>
                  <a:bodyPr/>
                  <a:lstStyle/>
                  <a:p>
                    <a:pPr>
                      <a:defRPr sz="275" b="0" i="0" u="none" strike="noStrike" baseline="0">
                        <a:solidFill>
                          <a:srgbClr val="000000"/>
                        </a:solidFill>
                        <a:latin typeface="Arial"/>
                        <a:ea typeface="Arial"/>
                        <a:cs typeface="Arial"/>
                      </a:defRPr>
                    </a:pPr>
                    <a:r>
                      <a:rPr lang="en-US"/>
                      <a:t>19%
45</a:t>
                    </a:r>
                  </a:p>
                </c:rich>
              </c:tx>
              <c:spPr>
                <a:noFill/>
                <a:ln w="25399">
                  <a:noFill/>
                </a:ln>
              </c:spPr>
            </c:dLbl>
            <c:dLbl>
              <c:idx val="4"/>
              <c:tx>
                <c:rich>
                  <a:bodyPr/>
                  <a:lstStyle/>
                  <a:p>
                    <a:pPr>
                      <a:defRPr sz="275" b="0" i="0" u="none" strike="noStrike" baseline="0">
                        <a:solidFill>
                          <a:srgbClr val="000000"/>
                        </a:solidFill>
                        <a:latin typeface="Arial"/>
                        <a:ea typeface="Arial"/>
                        <a:cs typeface="Arial"/>
                      </a:defRPr>
                    </a:pPr>
                    <a:r>
                      <a:rPr lang="en-US"/>
                      <a:t>15%
55</a:t>
                    </a:r>
                  </a:p>
                </c:rich>
              </c:tx>
              <c:spPr>
                <a:noFill/>
                <a:ln w="25399">
                  <a:noFill/>
                </a:ln>
              </c:spPr>
            </c:dLbl>
            <c:dLbl>
              <c:idx val="5"/>
              <c:layout>
                <c:manualLayout>
                  <c:x val="1.1295527241547493E-2"/>
                  <c:y val="-0.15554580371417304"/>
                </c:manualLayout>
              </c:layout>
              <c:tx>
                <c:rich>
                  <a:bodyPr/>
                  <a:lstStyle/>
                  <a:p>
                    <a:pPr>
                      <a:defRPr sz="275" b="0" i="0" u="none" strike="noStrike" baseline="0">
                        <a:solidFill>
                          <a:srgbClr val="000000"/>
                        </a:solidFill>
                        <a:latin typeface="Arial"/>
                        <a:ea typeface="Arial"/>
                        <a:cs typeface="Arial"/>
                      </a:defRPr>
                    </a:pPr>
                    <a:r>
                      <a:rPr lang="en-US"/>
                      <a:t>3%
65</a:t>
                    </a:r>
                  </a:p>
                </c:rich>
              </c:tx>
              <c:spPr>
                <a:noFill/>
                <a:ln w="25399">
                  <a:noFill/>
                </a:ln>
              </c:spPr>
              <c:dLblPos val="bestFit"/>
            </c:dLbl>
            <c:dLbl>
              <c:idx val="6"/>
              <c:layout>
                <c:manualLayout>
                  <c:x val="1.9582386698173308E-2"/>
                  <c:y val="-0.16855294523389311"/>
                </c:manualLayout>
              </c:layout>
              <c:tx>
                <c:rich>
                  <a:bodyPr/>
                  <a:lstStyle/>
                  <a:p>
                    <a:pPr>
                      <a:defRPr sz="275" b="0" i="0" u="none" strike="noStrike" baseline="0">
                        <a:solidFill>
                          <a:srgbClr val="000000"/>
                        </a:solidFill>
                        <a:latin typeface="Arial"/>
                        <a:ea typeface="Arial"/>
                        <a:cs typeface="Arial"/>
                      </a:defRPr>
                    </a:pPr>
                    <a:r>
                      <a:rPr lang="en-US"/>
                      <a:t>3%
75</a:t>
                    </a:r>
                  </a:p>
                </c:rich>
              </c:tx>
              <c:spPr>
                <a:noFill/>
                <a:ln w="25399">
                  <a:noFill/>
                </a:ln>
              </c:spPr>
              <c:dLblPos val="bestFit"/>
            </c:dLbl>
            <c:dLbl>
              <c:idx val="7"/>
              <c:layout>
                <c:manualLayout>
                  <c:x val="1.6497091402956573E-2"/>
                  <c:y val="-0.19546412122714293"/>
                </c:manualLayout>
              </c:layout>
              <c:tx>
                <c:rich>
                  <a:bodyPr/>
                  <a:lstStyle/>
                  <a:p>
                    <a:pPr>
                      <a:defRPr sz="275" b="0" i="0" u="none" strike="noStrike" baseline="0">
                        <a:solidFill>
                          <a:srgbClr val="000000"/>
                        </a:solidFill>
                        <a:latin typeface="Arial"/>
                        <a:ea typeface="Arial"/>
                        <a:cs typeface="Arial"/>
                      </a:defRPr>
                    </a:pPr>
                    <a:r>
                      <a:rPr lang="en-US"/>
                      <a:t>5%
85</a:t>
                    </a:r>
                  </a:p>
                </c:rich>
              </c:tx>
              <c:spPr>
                <a:noFill/>
                <a:ln w="25399">
                  <a:noFill/>
                </a:ln>
              </c:spPr>
              <c:dLblPos val="bestFit"/>
            </c:dLbl>
            <c:dLbl>
              <c:idx val="8"/>
              <c:layout>
                <c:manualLayout>
                  <c:x val="1.5828329534581003E-2"/>
                  <c:y val="-0.17506536672362991"/>
                </c:manualLayout>
              </c:layout>
              <c:tx>
                <c:rich>
                  <a:bodyPr/>
                  <a:lstStyle/>
                  <a:p>
                    <a:pPr>
                      <a:defRPr sz="275" b="0" i="0" u="none" strike="noStrike" baseline="0">
                        <a:solidFill>
                          <a:srgbClr val="000000"/>
                        </a:solidFill>
                        <a:latin typeface="Arial"/>
                        <a:ea typeface="Arial"/>
                        <a:cs typeface="Arial"/>
                      </a:defRPr>
                    </a:pPr>
                    <a:r>
                      <a:rPr lang="en-US"/>
                      <a:t>2%
95</a:t>
                    </a:r>
                  </a:p>
                </c:rich>
              </c:tx>
              <c:spPr>
                <a:noFill/>
                <a:ln w="25399">
                  <a:noFill/>
                </a:ln>
              </c:spPr>
              <c:dLblPos val="bestFit"/>
            </c:dLbl>
            <c:dLbl>
              <c:idx val="9"/>
              <c:layout>
                <c:manualLayout>
                  <c:x val="1.0477446052045054E-2"/>
                  <c:y val="-0.181745521573417"/>
                </c:manualLayout>
              </c:layout>
              <c:tx>
                <c:rich>
                  <a:bodyPr/>
                  <a:lstStyle/>
                  <a:p>
                    <a:pPr>
                      <a:defRPr sz="275" b="0" i="0" u="none" strike="noStrike" baseline="0">
                        <a:solidFill>
                          <a:srgbClr val="000000"/>
                        </a:solidFill>
                        <a:latin typeface="Arial"/>
                        <a:ea typeface="Arial"/>
                        <a:cs typeface="Arial"/>
                      </a:defRPr>
                    </a:pPr>
                    <a:r>
                      <a:rPr lang="en-US"/>
                      <a:t>2%
105</a:t>
                    </a:r>
                  </a:p>
                </c:rich>
              </c:tx>
              <c:spPr>
                <a:noFill/>
                <a:ln w="25399">
                  <a:noFill/>
                </a:ln>
              </c:spPr>
              <c:dLblPos val="bestFit"/>
            </c:dLbl>
            <c:dLbl>
              <c:idx val="10"/>
              <c:layout>
                <c:manualLayout>
                  <c:x val="1.2608815722561161E-2"/>
                  <c:y val="-0.20044047892071742"/>
                </c:manualLayout>
              </c:layout>
              <c:tx>
                <c:rich>
                  <a:bodyPr/>
                  <a:lstStyle/>
                  <a:p>
                    <a:pPr>
                      <a:defRPr sz="275" b="0" i="0" u="none" strike="noStrike" baseline="0">
                        <a:solidFill>
                          <a:srgbClr val="000000"/>
                        </a:solidFill>
                        <a:latin typeface="Arial"/>
                        <a:ea typeface="Arial"/>
                        <a:cs typeface="Arial"/>
                      </a:defRPr>
                    </a:pPr>
                    <a:r>
                      <a:rPr lang="en-US"/>
                      <a:t>1%
125</a:t>
                    </a:r>
                  </a:p>
                </c:rich>
              </c:tx>
              <c:spPr>
                <a:noFill/>
                <a:ln w="25399">
                  <a:noFill/>
                </a:ln>
              </c:spPr>
              <c:dLblPos val="bestFit"/>
            </c:dLbl>
            <c:dLbl>
              <c:idx val="11"/>
              <c:layout>
                <c:manualLayout>
                  <c:x val="1.2139992969473011E-2"/>
                  <c:y val="-0.1713142653284844"/>
                </c:manualLayout>
              </c:layout>
              <c:tx>
                <c:rich>
                  <a:bodyPr/>
                  <a:lstStyle/>
                  <a:p>
                    <a:pPr>
                      <a:defRPr sz="275" b="0" i="0" u="none" strike="noStrike" baseline="0">
                        <a:solidFill>
                          <a:srgbClr val="000000"/>
                        </a:solidFill>
                        <a:latin typeface="Arial"/>
                        <a:ea typeface="Arial"/>
                        <a:cs typeface="Arial"/>
                      </a:defRPr>
                    </a:pPr>
                    <a:r>
                      <a:rPr lang="en-US"/>
                      <a:t>1%
135</a:t>
                    </a:r>
                  </a:p>
                </c:rich>
              </c:tx>
              <c:spPr>
                <a:noFill/>
                <a:ln w="25399">
                  <a:noFill/>
                </a:ln>
              </c:spPr>
              <c:dLblPos val="bestFit"/>
            </c:dLbl>
            <c:numFmt formatCode="0%" sourceLinked="0"/>
            <c:spPr>
              <a:noFill/>
              <a:ln w="25399">
                <a:noFill/>
              </a:ln>
            </c:spPr>
            <c:txPr>
              <a:bodyPr/>
              <a:lstStyle/>
              <a:p>
                <a:pPr>
                  <a:defRPr sz="275" b="0" i="0" u="none" strike="noStrike" baseline="0">
                    <a:solidFill>
                      <a:srgbClr val="000000"/>
                    </a:solidFill>
                    <a:latin typeface="Arial"/>
                    <a:ea typeface="Arial"/>
                    <a:cs typeface="Arial"/>
                  </a:defRPr>
                </a:pPr>
                <a:endParaRPr lang="en-US"/>
              </a:p>
            </c:txPr>
            <c:showPercent val="1"/>
            <c:showLeaderLines val="1"/>
          </c:dLbls>
          <c:val>
            <c:numRef>
              <c:f>Sheet1!$A$1:$L$1</c:f>
              <c:numCache>
                <c:formatCode>0%</c:formatCode>
                <c:ptCount val="12"/>
                <c:pt idx="0">
                  <c:v>0.05</c:v>
                </c:pt>
                <c:pt idx="1">
                  <c:v>0.2</c:v>
                </c:pt>
                <c:pt idx="2">
                  <c:v>0.22</c:v>
                </c:pt>
                <c:pt idx="3">
                  <c:v>0.18000000000000024</c:v>
                </c:pt>
                <c:pt idx="4">
                  <c:v>0.15000000000000024</c:v>
                </c:pt>
                <c:pt idx="5">
                  <c:v>3.0000000000000002E-2</c:v>
                </c:pt>
                <c:pt idx="6">
                  <c:v>3.0000000000000002E-2</c:v>
                </c:pt>
                <c:pt idx="7">
                  <c:v>0.05</c:v>
                </c:pt>
                <c:pt idx="8">
                  <c:v>2.0000000000000011E-2</c:v>
                </c:pt>
                <c:pt idx="9">
                  <c:v>2.0000000000000011E-2</c:v>
                </c:pt>
                <c:pt idx="10">
                  <c:v>1.0000000000000005E-2</c:v>
                </c:pt>
                <c:pt idx="11">
                  <c:v>1.0000000000000005E-2</c:v>
                </c:pt>
              </c:numCache>
            </c:numRef>
          </c:val>
        </c:ser>
        <c:dLbls>
          <c:showPercent val="1"/>
        </c:dLbls>
      </c:pie3DChart>
      <c:spPr>
        <a:noFill/>
        <a:ln w="25399">
          <a:noFill/>
        </a:ln>
      </c:spPr>
    </c:plotArea>
    <c:plotVisOnly val="1"/>
    <c:dispBlanksAs val="zero"/>
  </c:chart>
  <c:spPr>
    <a:solidFill>
      <a:srgbClr val="FFFFFF"/>
    </a:solidFill>
    <a:ln w="3175">
      <a:solidFill>
        <a:srgbClr val="000000"/>
      </a:solidFill>
      <a:prstDash val="solid"/>
    </a:ln>
  </c:spPr>
  <c:txPr>
    <a:bodyPr/>
    <a:lstStyle/>
    <a:p>
      <a:pPr>
        <a:defRPr sz="350"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perspective val="0"/>
    </c:view3D>
    <c:plotArea>
      <c:layout>
        <c:manualLayout>
          <c:layoutTarget val="inner"/>
          <c:xMode val="edge"/>
          <c:yMode val="edge"/>
          <c:x val="0.34545454545454624"/>
          <c:y val="0.38372093023255938"/>
          <c:w val="0.30303030303030332"/>
          <c:h val="0.23255813953488391"/>
        </c:manualLayout>
      </c:layout>
      <c:pie3DChart>
        <c:varyColors val="1"/>
        <c:ser>
          <c:idx val="0"/>
          <c:order val="0"/>
          <c:spPr>
            <a:solidFill>
              <a:srgbClr val="9999FF"/>
            </a:solidFill>
            <a:ln w="12699">
              <a:solidFill>
                <a:srgbClr val="000000"/>
              </a:solidFill>
              <a:prstDash val="solid"/>
            </a:ln>
          </c:spPr>
          <c:explosion val="25"/>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Pt>
            <c:idx val="6"/>
            <c:spPr>
              <a:solidFill>
                <a:srgbClr val="0066CC"/>
              </a:solidFill>
              <a:ln w="12699">
                <a:solidFill>
                  <a:srgbClr val="000000"/>
                </a:solidFill>
                <a:prstDash val="solid"/>
              </a:ln>
            </c:spPr>
          </c:dPt>
          <c:dPt>
            <c:idx val="7"/>
            <c:spPr>
              <a:solidFill>
                <a:srgbClr val="CCCCFF"/>
              </a:solidFill>
              <a:ln w="12699">
                <a:solidFill>
                  <a:srgbClr val="000000"/>
                </a:solidFill>
                <a:prstDash val="solid"/>
              </a:ln>
            </c:spPr>
          </c:dPt>
          <c:dPt>
            <c:idx val="8"/>
            <c:spPr>
              <a:solidFill>
                <a:srgbClr val="000080"/>
              </a:solidFill>
              <a:ln w="12699">
                <a:solidFill>
                  <a:srgbClr val="000000"/>
                </a:solidFill>
                <a:prstDash val="solid"/>
              </a:ln>
            </c:spPr>
          </c:dPt>
          <c:dPt>
            <c:idx val="9"/>
            <c:spPr>
              <a:solidFill>
                <a:srgbClr val="FF00FF"/>
              </a:solidFill>
              <a:ln w="12699">
                <a:solidFill>
                  <a:srgbClr val="000000"/>
                </a:solidFill>
                <a:prstDash val="solid"/>
              </a:ln>
            </c:spPr>
          </c:dPt>
          <c:dPt>
            <c:idx val="10"/>
            <c:spPr>
              <a:solidFill>
                <a:srgbClr val="FFFF00"/>
              </a:solidFill>
              <a:ln w="12699">
                <a:solidFill>
                  <a:srgbClr val="000000"/>
                </a:solidFill>
                <a:prstDash val="solid"/>
              </a:ln>
            </c:spPr>
          </c:dPt>
          <c:dPt>
            <c:idx val="11"/>
            <c:spPr>
              <a:solidFill>
                <a:srgbClr val="00FFFF"/>
              </a:solidFill>
              <a:ln w="12699">
                <a:solidFill>
                  <a:srgbClr val="000000"/>
                </a:solidFill>
                <a:prstDash val="solid"/>
              </a:ln>
            </c:spPr>
          </c:dPt>
          <c:dPt>
            <c:idx val="12"/>
            <c:spPr>
              <a:solidFill>
                <a:srgbClr val="800080"/>
              </a:solidFill>
              <a:ln w="12699">
                <a:solidFill>
                  <a:srgbClr val="000000"/>
                </a:solidFill>
                <a:prstDash val="solid"/>
              </a:ln>
            </c:spPr>
          </c:dPt>
          <c:dLbls>
            <c:dLbl>
              <c:idx val="0"/>
              <c:tx>
                <c:rich>
                  <a:bodyPr/>
                  <a:lstStyle/>
                  <a:p>
                    <a:pPr>
                      <a:defRPr sz="225" b="0" i="0" u="none" strike="noStrike" baseline="0">
                        <a:solidFill>
                          <a:srgbClr val="000000"/>
                        </a:solidFill>
                        <a:latin typeface="Arial"/>
                        <a:ea typeface="Arial"/>
                        <a:cs typeface="Arial"/>
                      </a:defRPr>
                    </a:pPr>
                    <a:r>
                      <a:rPr lang="en-US"/>
                      <a:t>4%
10</a:t>
                    </a:r>
                  </a:p>
                </c:rich>
              </c:tx>
              <c:spPr>
                <a:noFill/>
                <a:ln w="25398">
                  <a:noFill/>
                </a:ln>
              </c:spPr>
            </c:dLbl>
            <c:dLbl>
              <c:idx val="1"/>
              <c:tx>
                <c:rich>
                  <a:bodyPr/>
                  <a:lstStyle/>
                  <a:p>
                    <a:pPr>
                      <a:defRPr sz="225" b="0" i="0" u="none" strike="noStrike" baseline="0">
                        <a:solidFill>
                          <a:srgbClr val="000000"/>
                        </a:solidFill>
                        <a:latin typeface="Arial"/>
                        <a:ea typeface="Arial"/>
                        <a:cs typeface="Arial"/>
                      </a:defRPr>
                    </a:pPr>
                    <a:r>
                      <a:rPr lang="en-US"/>
                      <a:t>6%
16</a:t>
                    </a:r>
                  </a:p>
                </c:rich>
              </c:tx>
              <c:spPr>
                <a:noFill/>
                <a:ln w="25398">
                  <a:noFill/>
                </a:ln>
              </c:spPr>
            </c:dLbl>
            <c:dLbl>
              <c:idx val="2"/>
              <c:tx>
                <c:rich>
                  <a:bodyPr/>
                  <a:lstStyle/>
                  <a:p>
                    <a:pPr>
                      <a:defRPr sz="225" b="0" i="0" u="none" strike="noStrike" baseline="0">
                        <a:solidFill>
                          <a:srgbClr val="000000"/>
                        </a:solidFill>
                        <a:latin typeface="Arial"/>
                        <a:ea typeface="Arial"/>
                        <a:cs typeface="Arial"/>
                      </a:defRPr>
                    </a:pPr>
                    <a:r>
                      <a:rPr lang="en-US"/>
                      <a:t>9%
23</a:t>
                    </a:r>
                  </a:p>
                </c:rich>
              </c:tx>
              <c:spPr>
                <a:noFill/>
                <a:ln w="25398">
                  <a:noFill/>
                </a:ln>
              </c:spPr>
            </c:dLbl>
            <c:dLbl>
              <c:idx val="3"/>
              <c:tx>
                <c:rich>
                  <a:bodyPr/>
                  <a:lstStyle/>
                  <a:p>
                    <a:pPr>
                      <a:defRPr sz="275" b="0" i="0" u="none" strike="noStrike" baseline="0">
                        <a:solidFill>
                          <a:srgbClr val="000000"/>
                        </a:solidFill>
                        <a:latin typeface="Arial"/>
                        <a:ea typeface="Arial"/>
                        <a:cs typeface="Arial"/>
                      </a:defRPr>
                    </a:pPr>
                    <a:r>
                      <a:rPr lang="en-US"/>
                      <a:t>13%
30</a:t>
                    </a:r>
                  </a:p>
                </c:rich>
              </c:tx>
              <c:spPr>
                <a:noFill/>
                <a:ln w="25398">
                  <a:noFill/>
                </a:ln>
              </c:spPr>
            </c:dLbl>
            <c:dLbl>
              <c:idx val="4"/>
              <c:tx>
                <c:rich>
                  <a:bodyPr/>
                  <a:lstStyle/>
                  <a:p>
                    <a:pPr>
                      <a:defRPr sz="225" b="0" i="0" u="none" strike="noStrike" baseline="0">
                        <a:solidFill>
                          <a:srgbClr val="000000"/>
                        </a:solidFill>
                        <a:latin typeface="Arial"/>
                        <a:ea typeface="Arial"/>
                        <a:cs typeface="Arial"/>
                      </a:defRPr>
                    </a:pPr>
                    <a:r>
                      <a:rPr lang="en-US"/>
                      <a:t>15%
36</a:t>
                    </a:r>
                  </a:p>
                </c:rich>
              </c:tx>
              <c:spPr>
                <a:noFill/>
                <a:ln w="25398">
                  <a:noFill/>
                </a:ln>
              </c:spPr>
            </c:dLbl>
            <c:dLbl>
              <c:idx val="5"/>
              <c:tx>
                <c:rich>
                  <a:bodyPr/>
                  <a:lstStyle/>
                  <a:p>
                    <a:pPr>
                      <a:defRPr sz="225" b="0" i="0" u="none" strike="noStrike" baseline="0">
                        <a:solidFill>
                          <a:srgbClr val="000000"/>
                        </a:solidFill>
                        <a:latin typeface="Arial"/>
                        <a:ea typeface="Arial"/>
                        <a:cs typeface="Arial"/>
                      </a:defRPr>
                    </a:pPr>
                    <a:r>
                      <a:rPr lang="en-US"/>
                      <a:t>13%
4</a:t>
                    </a:r>
                  </a:p>
                </c:rich>
              </c:tx>
              <c:spPr>
                <a:noFill/>
                <a:ln w="25398">
                  <a:noFill/>
                </a:ln>
              </c:spPr>
            </c:dLbl>
            <c:dLbl>
              <c:idx val="6"/>
              <c:tx>
                <c:rich>
                  <a:bodyPr/>
                  <a:lstStyle/>
                  <a:p>
                    <a:pPr>
                      <a:defRPr sz="225" b="0" i="0" u="none" strike="noStrike" baseline="0">
                        <a:solidFill>
                          <a:srgbClr val="000000"/>
                        </a:solidFill>
                        <a:latin typeface="Arial"/>
                        <a:ea typeface="Arial"/>
                        <a:cs typeface="Arial"/>
                      </a:defRPr>
                    </a:pPr>
                    <a:r>
                      <a:rPr lang="en-US"/>
                      <a:t>9%
50</a:t>
                    </a:r>
                  </a:p>
                </c:rich>
              </c:tx>
              <c:spPr>
                <a:noFill/>
                <a:ln w="25398">
                  <a:noFill/>
                </a:ln>
              </c:spPr>
            </c:dLbl>
            <c:dLbl>
              <c:idx val="7"/>
              <c:tx>
                <c:rich>
                  <a:bodyPr/>
                  <a:lstStyle/>
                  <a:p>
                    <a:pPr>
                      <a:defRPr sz="225" b="0" i="0" u="none" strike="noStrike" baseline="0">
                        <a:solidFill>
                          <a:srgbClr val="000000"/>
                        </a:solidFill>
                        <a:latin typeface="Arial"/>
                        <a:ea typeface="Arial"/>
                        <a:cs typeface="Arial"/>
                      </a:defRPr>
                    </a:pPr>
                    <a:r>
                      <a:rPr lang="en-US"/>
                      <a:t>7%
56</a:t>
                    </a:r>
                  </a:p>
                </c:rich>
              </c:tx>
              <c:spPr>
                <a:noFill/>
                <a:ln w="25398">
                  <a:noFill/>
                </a:ln>
              </c:spPr>
            </c:dLbl>
            <c:dLbl>
              <c:idx val="8"/>
              <c:tx>
                <c:rich>
                  <a:bodyPr/>
                  <a:lstStyle/>
                  <a:p>
                    <a:pPr>
                      <a:defRPr sz="225" b="0" i="0" u="none" strike="noStrike" baseline="0">
                        <a:solidFill>
                          <a:srgbClr val="000000"/>
                        </a:solidFill>
                        <a:latin typeface="Arial"/>
                        <a:ea typeface="Arial"/>
                        <a:cs typeface="Arial"/>
                      </a:defRPr>
                    </a:pPr>
                    <a:r>
                      <a:rPr lang="en-US"/>
                      <a:t>6%
63</a:t>
                    </a:r>
                  </a:p>
                </c:rich>
              </c:tx>
              <c:spPr>
                <a:noFill/>
                <a:ln w="25398">
                  <a:noFill/>
                </a:ln>
              </c:spPr>
            </c:dLbl>
            <c:dLbl>
              <c:idx val="9"/>
              <c:tx>
                <c:rich>
                  <a:bodyPr/>
                  <a:lstStyle/>
                  <a:p>
                    <a:pPr>
                      <a:defRPr sz="225" b="0" i="0" u="none" strike="noStrike" baseline="0">
                        <a:solidFill>
                          <a:srgbClr val="000000"/>
                        </a:solidFill>
                        <a:latin typeface="Arial"/>
                        <a:ea typeface="Arial"/>
                        <a:cs typeface="Arial"/>
                      </a:defRPr>
                    </a:pPr>
                    <a:r>
                      <a:rPr lang="en-US"/>
                      <a:t>6%
70</a:t>
                    </a:r>
                  </a:p>
                </c:rich>
              </c:tx>
              <c:spPr>
                <a:noFill/>
                <a:ln w="25398">
                  <a:noFill/>
                </a:ln>
              </c:spPr>
            </c:dLbl>
            <c:dLbl>
              <c:idx val="10"/>
              <c:tx>
                <c:rich>
                  <a:bodyPr/>
                  <a:lstStyle/>
                  <a:p>
                    <a:pPr>
                      <a:defRPr sz="225" b="0" i="0" u="none" strike="noStrike" baseline="0">
                        <a:solidFill>
                          <a:srgbClr val="000000"/>
                        </a:solidFill>
                        <a:latin typeface="Arial"/>
                        <a:ea typeface="Arial"/>
                        <a:cs typeface="Arial"/>
                      </a:defRPr>
                    </a:pPr>
                    <a:r>
                      <a:rPr lang="en-US"/>
                      <a:t>5%
76</a:t>
                    </a:r>
                  </a:p>
                </c:rich>
              </c:tx>
              <c:spPr>
                <a:noFill/>
                <a:ln w="25398">
                  <a:noFill/>
                </a:ln>
              </c:spPr>
            </c:dLbl>
            <c:dLbl>
              <c:idx val="11"/>
              <c:tx>
                <c:rich>
                  <a:bodyPr/>
                  <a:lstStyle/>
                  <a:p>
                    <a:pPr>
                      <a:defRPr sz="225" b="0" i="0" u="none" strike="noStrike" baseline="0">
                        <a:solidFill>
                          <a:srgbClr val="000000"/>
                        </a:solidFill>
                        <a:latin typeface="Arial"/>
                        <a:ea typeface="Arial"/>
                        <a:cs typeface="Arial"/>
                      </a:defRPr>
                    </a:pPr>
                    <a:r>
                      <a:rPr lang="en-US"/>
                      <a:t>4%
83</a:t>
                    </a:r>
                  </a:p>
                </c:rich>
              </c:tx>
              <c:spPr>
                <a:noFill/>
                <a:ln w="25398">
                  <a:noFill/>
                </a:ln>
              </c:spPr>
            </c:dLbl>
            <c:dLbl>
              <c:idx val="12"/>
              <c:tx>
                <c:rich>
                  <a:bodyPr/>
                  <a:lstStyle/>
                  <a:p>
                    <a:pPr>
                      <a:defRPr sz="225" b="0" i="0" u="none" strike="noStrike" baseline="0">
                        <a:solidFill>
                          <a:srgbClr val="000000"/>
                        </a:solidFill>
                        <a:latin typeface="Arial"/>
                        <a:ea typeface="Arial"/>
                        <a:cs typeface="Arial"/>
                      </a:defRPr>
                    </a:pPr>
                    <a:r>
                      <a:rPr lang="en-US"/>
                      <a:t>3%
90</a:t>
                    </a:r>
                  </a:p>
                </c:rich>
              </c:tx>
              <c:spPr>
                <a:noFill/>
                <a:ln w="25398">
                  <a:noFill/>
                </a:ln>
              </c:spPr>
            </c:dLbl>
            <c:numFmt formatCode="0%" sourceLinked="0"/>
            <c:spPr>
              <a:noFill/>
              <a:ln w="25398">
                <a:noFill/>
              </a:ln>
            </c:spPr>
            <c:txPr>
              <a:bodyPr/>
              <a:lstStyle/>
              <a:p>
                <a:pPr>
                  <a:defRPr sz="300" b="0" i="0" u="none" strike="noStrike" baseline="0">
                    <a:solidFill>
                      <a:srgbClr val="000000"/>
                    </a:solidFill>
                    <a:latin typeface="Arial"/>
                    <a:ea typeface="Arial"/>
                    <a:cs typeface="Arial"/>
                  </a:defRPr>
                </a:pPr>
                <a:endParaRPr lang="en-US"/>
              </a:p>
            </c:txPr>
            <c:showPercent val="1"/>
            <c:showLeaderLines val="1"/>
          </c:dLbls>
          <c:val>
            <c:numRef>
              <c:f>Sheet1!$A$2:$M$2</c:f>
              <c:numCache>
                <c:formatCode>0%</c:formatCode>
                <c:ptCount val="13"/>
                <c:pt idx="0">
                  <c:v>4.0000000000000022E-2</c:v>
                </c:pt>
                <c:pt idx="1">
                  <c:v>6.0000000000000032E-2</c:v>
                </c:pt>
                <c:pt idx="2">
                  <c:v>9.0000000000000024E-2</c:v>
                </c:pt>
                <c:pt idx="3">
                  <c:v>0.13</c:v>
                </c:pt>
                <c:pt idx="4">
                  <c:v>0.15000000000000024</c:v>
                </c:pt>
                <c:pt idx="5">
                  <c:v>0.13</c:v>
                </c:pt>
                <c:pt idx="6">
                  <c:v>9.0000000000000024E-2</c:v>
                </c:pt>
                <c:pt idx="7">
                  <c:v>7.0000000000000021E-2</c:v>
                </c:pt>
                <c:pt idx="8">
                  <c:v>6.0000000000000032E-2</c:v>
                </c:pt>
                <c:pt idx="9">
                  <c:v>6.0000000000000032E-2</c:v>
                </c:pt>
                <c:pt idx="10">
                  <c:v>0.05</c:v>
                </c:pt>
                <c:pt idx="11">
                  <c:v>4.0000000000000022E-2</c:v>
                </c:pt>
                <c:pt idx="12">
                  <c:v>3.0000000000000002E-2</c:v>
                </c:pt>
              </c:numCache>
            </c:numRef>
          </c:val>
        </c:ser>
        <c:dLbls>
          <c:showPercent val="1"/>
        </c:dLbls>
      </c:pie3DChart>
      <c:spPr>
        <a:noFill/>
        <a:ln w="25398">
          <a:noFill/>
        </a:ln>
      </c:spPr>
    </c:plotArea>
    <c:plotVisOnly val="1"/>
    <c:dispBlanksAs val="zero"/>
  </c:chart>
  <c:spPr>
    <a:solidFill>
      <a:srgbClr val="FFFFFF"/>
    </a:solidFill>
    <a:ln w="3175">
      <a:solidFill>
        <a:srgbClr val="000000"/>
      </a:solidFill>
      <a:prstDash val="solid"/>
    </a:ln>
  </c:spPr>
  <c:txPr>
    <a:bodyPr/>
    <a:lstStyle/>
    <a:p>
      <a:pPr>
        <a:defRPr sz="300"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perspective val="0"/>
    </c:view3D>
    <c:plotArea>
      <c:layout>
        <c:manualLayout>
          <c:layoutTarget val="inner"/>
          <c:xMode val="edge"/>
          <c:yMode val="edge"/>
          <c:x val="0.355932203389832"/>
          <c:y val="0.37349397590361566"/>
          <c:w val="0.28813559322033899"/>
          <c:h val="0.24096385542168691"/>
        </c:manualLayout>
      </c:layout>
      <c:pie3DChart>
        <c:varyColors val="1"/>
        <c:ser>
          <c:idx val="0"/>
          <c:order val="0"/>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dPt>
            <c:idx val="10"/>
            <c:spPr>
              <a:solidFill>
                <a:srgbClr val="FFFF00"/>
              </a:solidFill>
              <a:ln w="12700">
                <a:solidFill>
                  <a:srgbClr val="000000"/>
                </a:solidFill>
                <a:prstDash val="solid"/>
              </a:ln>
            </c:spPr>
          </c:dPt>
          <c:dPt>
            <c:idx val="11"/>
            <c:spPr>
              <a:solidFill>
                <a:srgbClr val="00FFFF"/>
              </a:solidFill>
              <a:ln w="12700">
                <a:solidFill>
                  <a:srgbClr val="000000"/>
                </a:solidFill>
                <a:prstDash val="solid"/>
              </a:ln>
            </c:spPr>
          </c:dPt>
          <c:dPt>
            <c:idx val="12"/>
            <c:spPr>
              <a:solidFill>
                <a:srgbClr val="800080"/>
              </a:solidFill>
              <a:ln w="12700">
                <a:solidFill>
                  <a:srgbClr val="000000"/>
                </a:solidFill>
                <a:prstDash val="solid"/>
              </a:ln>
            </c:spPr>
          </c:dPt>
          <c:dLbls>
            <c:dLbl>
              <c:idx val="0"/>
              <c:layout>
                <c:manualLayout>
                  <c:x val="-1.0639193530519498E-2"/>
                  <c:y val="-0.1617217004500944"/>
                </c:manualLayout>
              </c:layout>
              <c:tx>
                <c:rich>
                  <a:bodyPr/>
                  <a:lstStyle/>
                  <a:p>
                    <a:pPr>
                      <a:defRPr sz="225" b="0" i="0" u="none" strike="noStrike" baseline="0">
                        <a:solidFill>
                          <a:srgbClr val="000000"/>
                        </a:solidFill>
                        <a:latin typeface="Arial"/>
                        <a:ea typeface="Arial"/>
                        <a:cs typeface="Arial"/>
                      </a:defRPr>
                    </a:pPr>
                    <a:r>
                      <a:rPr lang="en-US"/>
                      <a:t>3%
15</a:t>
                    </a:r>
                  </a:p>
                </c:rich>
              </c:tx>
              <c:spPr>
                <a:noFill/>
                <a:ln w="25399">
                  <a:noFill/>
                </a:ln>
              </c:spPr>
              <c:dLblPos val="bestFit"/>
            </c:dLbl>
            <c:dLbl>
              <c:idx val="1"/>
              <c:tx>
                <c:rich>
                  <a:bodyPr/>
                  <a:lstStyle/>
                  <a:p>
                    <a:pPr>
                      <a:defRPr sz="225" b="0" i="0" u="none" strike="noStrike" baseline="0">
                        <a:solidFill>
                          <a:srgbClr val="000000"/>
                        </a:solidFill>
                        <a:latin typeface="Arial"/>
                        <a:ea typeface="Arial"/>
                        <a:cs typeface="Arial"/>
                      </a:defRPr>
                    </a:pPr>
                    <a:r>
                      <a:rPr lang="en-US"/>
                      <a:t>17%
25</a:t>
                    </a:r>
                  </a:p>
                </c:rich>
              </c:tx>
              <c:spPr>
                <a:noFill/>
                <a:ln w="25399">
                  <a:noFill/>
                </a:ln>
              </c:spPr>
            </c:dLbl>
            <c:dLbl>
              <c:idx val="2"/>
              <c:layout>
                <c:manualLayout>
                  <c:x val="6.9736686702797221E-3"/>
                  <c:y val="-4.8077102811947693E-2"/>
                </c:manualLayout>
              </c:layout>
              <c:tx>
                <c:rich>
                  <a:bodyPr/>
                  <a:lstStyle/>
                  <a:p>
                    <a:pPr>
                      <a:defRPr sz="225" b="0" i="0" u="none" strike="noStrike" baseline="0">
                        <a:solidFill>
                          <a:srgbClr val="000000"/>
                        </a:solidFill>
                        <a:latin typeface="Arial"/>
                        <a:ea typeface="Arial"/>
                        <a:cs typeface="Arial"/>
                      </a:defRPr>
                    </a:pPr>
                    <a:r>
                      <a:rPr lang="en-US"/>
                      <a:t>21%
35</a:t>
                    </a:r>
                  </a:p>
                </c:rich>
              </c:tx>
              <c:spPr>
                <a:noFill/>
                <a:ln w="25399">
                  <a:noFill/>
                </a:ln>
              </c:spPr>
              <c:dLblPos val="bestFit"/>
            </c:dLbl>
            <c:dLbl>
              <c:idx val="3"/>
              <c:tx>
                <c:rich>
                  <a:bodyPr/>
                  <a:lstStyle/>
                  <a:p>
                    <a:pPr>
                      <a:defRPr sz="225" b="0" i="0" u="none" strike="noStrike" baseline="0">
                        <a:solidFill>
                          <a:srgbClr val="000000"/>
                        </a:solidFill>
                        <a:latin typeface="Arial"/>
                        <a:ea typeface="Arial"/>
                        <a:cs typeface="Arial"/>
                      </a:defRPr>
                    </a:pPr>
                    <a:r>
                      <a:rPr lang="en-US"/>
                      <a:t>19%
45</a:t>
                    </a:r>
                  </a:p>
                </c:rich>
              </c:tx>
              <c:spPr>
                <a:noFill/>
                <a:ln w="25399">
                  <a:noFill/>
                </a:ln>
              </c:spPr>
            </c:dLbl>
            <c:dLbl>
              <c:idx val="4"/>
              <c:tx>
                <c:rich>
                  <a:bodyPr/>
                  <a:lstStyle/>
                  <a:p>
                    <a:pPr>
                      <a:defRPr sz="225" b="0" i="0" u="none" strike="noStrike" baseline="0">
                        <a:solidFill>
                          <a:srgbClr val="000000"/>
                        </a:solidFill>
                        <a:latin typeface="Arial"/>
                        <a:ea typeface="Arial"/>
                        <a:cs typeface="Arial"/>
                      </a:defRPr>
                    </a:pPr>
                    <a:r>
                      <a:rPr lang="en-US"/>
                      <a:t>15%
55</a:t>
                    </a:r>
                  </a:p>
                </c:rich>
              </c:tx>
              <c:spPr>
                <a:noFill/>
                <a:ln w="25399">
                  <a:noFill/>
                </a:ln>
              </c:spPr>
            </c:dLbl>
            <c:dLbl>
              <c:idx val="5"/>
              <c:layout>
                <c:manualLayout>
                  <c:x val="-1.3797697022666776E-3"/>
                  <c:y val="-9.2769758532526017E-2"/>
                </c:manualLayout>
              </c:layout>
              <c:tx>
                <c:rich>
                  <a:bodyPr/>
                  <a:lstStyle/>
                  <a:p>
                    <a:pPr>
                      <a:defRPr sz="225" b="0" i="0" u="none" strike="noStrike" baseline="0">
                        <a:solidFill>
                          <a:srgbClr val="000000"/>
                        </a:solidFill>
                        <a:latin typeface="Arial"/>
                        <a:ea typeface="Arial"/>
                        <a:cs typeface="Arial"/>
                      </a:defRPr>
                    </a:pPr>
                    <a:r>
                      <a:rPr lang="en-US"/>
                      <a:t>4%
65</a:t>
                    </a:r>
                  </a:p>
                </c:rich>
              </c:tx>
              <c:spPr>
                <a:noFill/>
                <a:ln w="25399">
                  <a:noFill/>
                </a:ln>
              </c:spPr>
              <c:dLblPos val="bestFit"/>
            </c:dLbl>
            <c:dLbl>
              <c:idx val="6"/>
              <c:layout>
                <c:manualLayout>
                  <c:x val="9.3942843385854489E-3"/>
                  <c:y val="-0.13061041131572071"/>
                </c:manualLayout>
              </c:layout>
              <c:tx>
                <c:rich>
                  <a:bodyPr/>
                  <a:lstStyle/>
                  <a:p>
                    <a:pPr>
                      <a:defRPr sz="225" b="0" i="0" u="none" strike="noStrike" baseline="0">
                        <a:solidFill>
                          <a:srgbClr val="000000"/>
                        </a:solidFill>
                        <a:latin typeface="Arial"/>
                        <a:ea typeface="Arial"/>
                        <a:cs typeface="Arial"/>
                      </a:defRPr>
                    </a:pPr>
                    <a:r>
                      <a:rPr lang="en-US"/>
                      <a:t>5%
75</a:t>
                    </a:r>
                  </a:p>
                </c:rich>
              </c:tx>
              <c:spPr>
                <a:noFill/>
                <a:ln w="25399">
                  <a:noFill/>
                </a:ln>
              </c:spPr>
              <c:dLblPos val="bestFit"/>
            </c:dLbl>
            <c:dLbl>
              <c:idx val="7"/>
              <c:layout>
                <c:manualLayout>
                  <c:x val="1.0470621381699305E-2"/>
                  <c:y val="-0.17768327553433341"/>
                </c:manualLayout>
              </c:layout>
              <c:tx>
                <c:rich>
                  <a:bodyPr/>
                  <a:lstStyle/>
                  <a:p>
                    <a:pPr>
                      <a:defRPr sz="225" b="0" i="0" u="none" strike="noStrike" baseline="0">
                        <a:solidFill>
                          <a:srgbClr val="000000"/>
                        </a:solidFill>
                        <a:latin typeface="Arial"/>
                        <a:ea typeface="Arial"/>
                        <a:cs typeface="Arial"/>
                      </a:defRPr>
                    </a:pPr>
                    <a:r>
                      <a:rPr lang="en-US"/>
                      <a:t>6%
85</a:t>
                    </a:r>
                  </a:p>
                </c:rich>
              </c:tx>
              <c:spPr>
                <a:noFill/>
                <a:ln w="25399">
                  <a:noFill/>
                </a:ln>
              </c:spPr>
              <c:dLblPos val="bestFit"/>
            </c:dLbl>
            <c:dLbl>
              <c:idx val="8"/>
              <c:layout>
                <c:manualLayout>
                  <c:x val="1.1485801562940406E-2"/>
                  <c:y val="-0.19322942865073592"/>
                </c:manualLayout>
              </c:layout>
              <c:tx>
                <c:rich>
                  <a:bodyPr/>
                  <a:lstStyle/>
                  <a:p>
                    <a:pPr>
                      <a:defRPr sz="225" b="0" i="0" u="none" strike="noStrike" baseline="0">
                        <a:solidFill>
                          <a:srgbClr val="000000"/>
                        </a:solidFill>
                        <a:latin typeface="Arial"/>
                        <a:ea typeface="Arial"/>
                        <a:cs typeface="Arial"/>
                      </a:defRPr>
                    </a:pPr>
                    <a:r>
                      <a:rPr lang="en-US"/>
                      <a:t>3%
95</a:t>
                    </a:r>
                  </a:p>
                </c:rich>
              </c:tx>
              <c:spPr>
                <a:noFill/>
                <a:ln w="25399">
                  <a:noFill/>
                </a:ln>
              </c:spPr>
              <c:dLblPos val="bestFit"/>
            </c:dLbl>
            <c:dLbl>
              <c:idx val="9"/>
              <c:layout>
                <c:manualLayout>
                  <c:x val="1.7760841709342681E-2"/>
                  <c:y val="-0.21279541262161542"/>
                </c:manualLayout>
              </c:layout>
              <c:tx>
                <c:rich>
                  <a:bodyPr/>
                  <a:lstStyle/>
                  <a:p>
                    <a:pPr>
                      <a:defRPr sz="225" b="0" i="0" u="none" strike="noStrike" baseline="0">
                        <a:solidFill>
                          <a:srgbClr val="000000"/>
                        </a:solidFill>
                        <a:latin typeface="Arial"/>
                        <a:ea typeface="Arial"/>
                        <a:cs typeface="Arial"/>
                      </a:defRPr>
                    </a:pPr>
                    <a:r>
                      <a:rPr lang="en-US"/>
                      <a:t>3%
105</a:t>
                    </a:r>
                  </a:p>
                </c:rich>
              </c:tx>
              <c:spPr>
                <a:noFill/>
                <a:ln w="25399">
                  <a:noFill/>
                </a:ln>
              </c:spPr>
              <c:dLblPos val="bestFit"/>
            </c:dLbl>
            <c:dLbl>
              <c:idx val="10"/>
              <c:layout>
                <c:manualLayout>
                  <c:x val="1.3384260167877833E-2"/>
                  <c:y val="-0.18641145626542405"/>
                </c:manualLayout>
              </c:layout>
              <c:tx>
                <c:rich>
                  <a:bodyPr/>
                  <a:lstStyle/>
                  <a:p>
                    <a:pPr>
                      <a:defRPr sz="225" b="0" i="0" u="none" strike="noStrike" baseline="0">
                        <a:solidFill>
                          <a:srgbClr val="000000"/>
                        </a:solidFill>
                        <a:latin typeface="Arial"/>
                        <a:ea typeface="Arial"/>
                        <a:cs typeface="Arial"/>
                      </a:defRPr>
                    </a:pPr>
                    <a:r>
                      <a:rPr lang="en-US"/>
                      <a:t>3%
125</a:t>
                    </a:r>
                  </a:p>
                </c:rich>
              </c:tx>
              <c:spPr>
                <a:noFill/>
                <a:ln w="25399">
                  <a:noFill/>
                </a:ln>
              </c:spPr>
              <c:dLblPos val="bestFit"/>
            </c:dLbl>
            <c:dLbl>
              <c:idx val="11"/>
              <c:layout>
                <c:manualLayout>
                  <c:x val="1.0099730554617947E-2"/>
                  <c:y val="-0.19786627876334736"/>
                </c:manualLayout>
              </c:layout>
              <c:tx>
                <c:rich>
                  <a:bodyPr/>
                  <a:lstStyle/>
                  <a:p>
                    <a:pPr>
                      <a:defRPr sz="225" b="0" i="0" u="none" strike="noStrike" baseline="0">
                        <a:solidFill>
                          <a:srgbClr val="000000"/>
                        </a:solidFill>
                        <a:latin typeface="Arial"/>
                        <a:ea typeface="Arial"/>
                        <a:cs typeface="Arial"/>
                      </a:defRPr>
                    </a:pPr>
                    <a:r>
                      <a:rPr lang="en-US"/>
                      <a:t>1%
135</a:t>
                    </a:r>
                  </a:p>
                </c:rich>
              </c:tx>
              <c:spPr>
                <a:noFill/>
                <a:ln w="25399">
                  <a:noFill/>
                </a:ln>
              </c:spPr>
              <c:dLblPos val="bestFit"/>
            </c:dLbl>
            <c:dLbl>
              <c:idx val="12"/>
              <c:delete val="1"/>
            </c:dLbl>
            <c:numFmt formatCode="0%" sourceLinked="0"/>
            <c:spPr>
              <a:noFill/>
              <a:ln w="25399">
                <a:noFill/>
              </a:ln>
            </c:spPr>
            <c:txPr>
              <a:bodyPr/>
              <a:lstStyle/>
              <a:p>
                <a:pPr>
                  <a:defRPr sz="225" b="0" i="0" u="none" strike="noStrike" baseline="0">
                    <a:solidFill>
                      <a:srgbClr val="000000"/>
                    </a:solidFill>
                    <a:latin typeface="Arial"/>
                    <a:ea typeface="Arial"/>
                    <a:cs typeface="Arial"/>
                  </a:defRPr>
                </a:pPr>
                <a:endParaRPr lang="en-US"/>
              </a:p>
            </c:txPr>
            <c:showPercent val="1"/>
            <c:showLeaderLines val="1"/>
          </c:dLbls>
          <c:val>
            <c:numRef>
              <c:f>Sheet1!$A$2:$M$2</c:f>
              <c:numCache>
                <c:formatCode>0%</c:formatCode>
                <c:ptCount val="13"/>
                <c:pt idx="0">
                  <c:v>3.0000000000000002E-2</c:v>
                </c:pt>
                <c:pt idx="1">
                  <c:v>0.17</c:v>
                </c:pt>
                <c:pt idx="2">
                  <c:v>0.21500000000000033</c:v>
                </c:pt>
                <c:pt idx="3">
                  <c:v>0.19</c:v>
                </c:pt>
                <c:pt idx="4">
                  <c:v>0.15000000000000024</c:v>
                </c:pt>
                <c:pt idx="5">
                  <c:v>4.0000000000000022E-2</c:v>
                </c:pt>
                <c:pt idx="6">
                  <c:v>0.05</c:v>
                </c:pt>
                <c:pt idx="7">
                  <c:v>6.0000000000000032E-2</c:v>
                </c:pt>
                <c:pt idx="8">
                  <c:v>3.0000000000000002E-2</c:v>
                </c:pt>
                <c:pt idx="9">
                  <c:v>3.0000000000000002E-2</c:v>
                </c:pt>
                <c:pt idx="10">
                  <c:v>3.0000000000000002E-2</c:v>
                </c:pt>
                <c:pt idx="11">
                  <c:v>1.0000000000000005E-2</c:v>
                </c:pt>
              </c:numCache>
            </c:numRef>
          </c:val>
        </c:ser>
        <c:dLbls>
          <c:showPercent val="1"/>
        </c:dLbls>
      </c:pie3DChart>
      <c:spPr>
        <a:noFill/>
        <a:ln w="25399">
          <a:noFill/>
        </a:ln>
      </c:spPr>
    </c:plotArea>
    <c:plotVisOnly val="1"/>
    <c:dispBlanksAs val="zero"/>
  </c:chart>
  <c:spPr>
    <a:solidFill>
      <a:srgbClr val="FFFFFF"/>
    </a:solidFill>
    <a:ln w="3175">
      <a:solidFill>
        <a:srgbClr val="000000"/>
      </a:solidFill>
      <a:prstDash val="solid"/>
    </a:ln>
  </c:spPr>
  <c:txPr>
    <a:bodyPr/>
    <a:lstStyle/>
    <a:p>
      <a:pPr>
        <a:defRPr sz="275"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view3D>
      <c:perspective val="0"/>
    </c:view3D>
    <c:plotArea>
      <c:layout>
        <c:manualLayout>
          <c:layoutTarget val="inner"/>
          <c:xMode val="edge"/>
          <c:yMode val="edge"/>
          <c:x val="0.33516483516483669"/>
          <c:y val="0.37362637362637452"/>
          <c:w val="0.32417582417582502"/>
          <c:h val="0.25274725274725274"/>
        </c:manualLayout>
      </c:layout>
      <c:pie3DChart>
        <c:varyColors val="1"/>
        <c:ser>
          <c:idx val="0"/>
          <c:order val="0"/>
          <c:spPr>
            <a:solidFill>
              <a:srgbClr val="9999FF"/>
            </a:solidFill>
            <a:ln w="12699">
              <a:solidFill>
                <a:srgbClr val="000000"/>
              </a:solidFill>
              <a:prstDash val="solid"/>
            </a:ln>
          </c:spPr>
          <c:explosion val="25"/>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Pt>
            <c:idx val="6"/>
            <c:spPr>
              <a:solidFill>
                <a:srgbClr val="0066CC"/>
              </a:solidFill>
              <a:ln w="12699">
                <a:solidFill>
                  <a:srgbClr val="000000"/>
                </a:solidFill>
                <a:prstDash val="solid"/>
              </a:ln>
            </c:spPr>
          </c:dPt>
          <c:dPt>
            <c:idx val="7"/>
            <c:spPr>
              <a:solidFill>
                <a:srgbClr val="CCCCFF"/>
              </a:solidFill>
              <a:ln w="12699">
                <a:solidFill>
                  <a:srgbClr val="000000"/>
                </a:solidFill>
                <a:prstDash val="solid"/>
              </a:ln>
            </c:spPr>
          </c:dPt>
          <c:dPt>
            <c:idx val="8"/>
            <c:spPr>
              <a:solidFill>
                <a:srgbClr val="000080"/>
              </a:solidFill>
              <a:ln w="12699">
                <a:solidFill>
                  <a:srgbClr val="000000"/>
                </a:solidFill>
                <a:prstDash val="solid"/>
              </a:ln>
            </c:spPr>
          </c:dPt>
          <c:dPt>
            <c:idx val="9"/>
            <c:spPr>
              <a:solidFill>
                <a:srgbClr val="FF00FF"/>
              </a:solidFill>
              <a:ln w="12699">
                <a:solidFill>
                  <a:srgbClr val="000000"/>
                </a:solidFill>
                <a:prstDash val="solid"/>
              </a:ln>
            </c:spPr>
          </c:dPt>
          <c:dPt>
            <c:idx val="10"/>
            <c:spPr>
              <a:solidFill>
                <a:srgbClr val="FFFF00"/>
              </a:solidFill>
              <a:ln w="12699">
                <a:solidFill>
                  <a:srgbClr val="000000"/>
                </a:solidFill>
                <a:prstDash val="solid"/>
              </a:ln>
            </c:spPr>
          </c:dPt>
          <c:dPt>
            <c:idx val="11"/>
            <c:spPr>
              <a:solidFill>
                <a:srgbClr val="00FFFF"/>
              </a:solidFill>
              <a:ln w="12699">
                <a:solidFill>
                  <a:srgbClr val="000000"/>
                </a:solidFill>
                <a:prstDash val="solid"/>
              </a:ln>
            </c:spPr>
          </c:dPt>
          <c:dPt>
            <c:idx val="12"/>
            <c:spPr>
              <a:solidFill>
                <a:srgbClr val="800080"/>
              </a:solidFill>
              <a:ln w="12699">
                <a:solidFill>
                  <a:srgbClr val="000000"/>
                </a:solidFill>
                <a:prstDash val="solid"/>
              </a:ln>
            </c:spPr>
          </c:dPt>
          <c:dLbls>
            <c:dLbl>
              <c:idx val="0"/>
              <c:layout>
                <c:manualLayout>
                  <c:x val="-3.1550012923892579E-3"/>
                  <c:y val="-0.16391364342056736"/>
                </c:manualLayout>
              </c:layout>
              <c:tx>
                <c:rich>
                  <a:bodyPr/>
                  <a:lstStyle/>
                  <a:p>
                    <a:pPr>
                      <a:defRPr sz="250" b="0" i="0" u="none" strike="noStrike" baseline="0">
                        <a:solidFill>
                          <a:srgbClr val="000000"/>
                        </a:solidFill>
                        <a:latin typeface="Arial"/>
                        <a:ea typeface="Arial"/>
                        <a:cs typeface="Arial"/>
                      </a:defRPr>
                    </a:pPr>
                    <a:r>
                      <a:rPr lang="en-US"/>
                      <a:t>1%
5</a:t>
                    </a:r>
                  </a:p>
                </c:rich>
              </c:tx>
              <c:spPr>
                <a:noFill/>
                <a:ln w="25399">
                  <a:noFill/>
                </a:ln>
              </c:spPr>
              <c:dLblPos val="bestFit"/>
            </c:dLbl>
            <c:dLbl>
              <c:idx val="1"/>
              <c:layout>
                <c:manualLayout>
                  <c:x val="-1.7229731783085105E-2"/>
                  <c:y val="-0.15356179416564991"/>
                </c:manualLayout>
              </c:layout>
              <c:tx>
                <c:rich>
                  <a:bodyPr/>
                  <a:lstStyle/>
                  <a:p>
                    <a:pPr>
                      <a:defRPr sz="250" b="0" i="0" u="none" strike="noStrike" baseline="0">
                        <a:solidFill>
                          <a:srgbClr val="000000"/>
                        </a:solidFill>
                        <a:latin typeface="Arial"/>
                        <a:ea typeface="Arial"/>
                        <a:cs typeface="Arial"/>
                      </a:defRPr>
                    </a:pPr>
                    <a:r>
                      <a:rPr lang="en-US"/>
                      <a:t>5%
12</a:t>
                    </a:r>
                  </a:p>
                </c:rich>
              </c:tx>
              <c:spPr>
                <a:noFill/>
                <a:ln w="25399">
                  <a:noFill/>
                </a:ln>
              </c:spPr>
              <c:dLblPos val="bestFit"/>
            </c:dLbl>
            <c:dLbl>
              <c:idx val="2"/>
              <c:layout>
                <c:manualLayout>
                  <c:x val="-1.483463992288305E-2"/>
                  <c:y val="-0.19895174641631341"/>
                </c:manualLayout>
              </c:layout>
              <c:tx>
                <c:rich>
                  <a:bodyPr/>
                  <a:lstStyle/>
                  <a:p>
                    <a:pPr>
                      <a:defRPr sz="250" b="0" i="0" u="none" strike="noStrike" baseline="0">
                        <a:solidFill>
                          <a:srgbClr val="000000"/>
                        </a:solidFill>
                        <a:latin typeface="Arial"/>
                        <a:ea typeface="Arial"/>
                        <a:cs typeface="Arial"/>
                      </a:defRPr>
                    </a:pPr>
                    <a:r>
                      <a:rPr lang="en-US"/>
                      <a:t>7%
19</a:t>
                    </a:r>
                  </a:p>
                </c:rich>
              </c:tx>
              <c:spPr>
                <a:noFill/>
                <a:ln w="25399">
                  <a:noFill/>
                </a:ln>
              </c:spPr>
              <c:dLblPos val="bestFit"/>
            </c:dLbl>
            <c:dLbl>
              <c:idx val="3"/>
              <c:tx>
                <c:rich>
                  <a:bodyPr/>
                  <a:lstStyle/>
                  <a:p>
                    <a:pPr>
                      <a:defRPr sz="250" b="0" i="0" u="none" strike="noStrike" baseline="0">
                        <a:solidFill>
                          <a:srgbClr val="000000"/>
                        </a:solidFill>
                        <a:latin typeface="Arial"/>
                        <a:ea typeface="Arial"/>
                        <a:cs typeface="Arial"/>
                      </a:defRPr>
                    </a:pPr>
                    <a:r>
                      <a:rPr lang="en-US"/>
                      <a:t>10%
25</a:t>
                    </a:r>
                  </a:p>
                </c:rich>
              </c:tx>
              <c:spPr>
                <a:noFill/>
                <a:ln w="25399">
                  <a:noFill/>
                </a:ln>
              </c:spPr>
            </c:dLbl>
            <c:dLbl>
              <c:idx val="4"/>
              <c:tx>
                <c:rich>
                  <a:bodyPr/>
                  <a:lstStyle/>
                  <a:p>
                    <a:pPr>
                      <a:defRPr sz="250" b="0" i="0" u="none" strike="noStrike" baseline="0">
                        <a:solidFill>
                          <a:srgbClr val="000000"/>
                        </a:solidFill>
                        <a:latin typeface="Arial"/>
                        <a:ea typeface="Arial"/>
                        <a:cs typeface="Arial"/>
                      </a:defRPr>
                    </a:pPr>
                    <a:r>
                      <a:rPr lang="en-US"/>
                      <a:t>15%
32</a:t>
                    </a:r>
                  </a:p>
                </c:rich>
              </c:tx>
              <c:spPr>
                <a:noFill/>
                <a:ln w="25399">
                  <a:noFill/>
                </a:ln>
              </c:spPr>
            </c:dLbl>
            <c:dLbl>
              <c:idx val="5"/>
              <c:tx>
                <c:rich>
                  <a:bodyPr/>
                  <a:lstStyle/>
                  <a:p>
                    <a:pPr>
                      <a:defRPr sz="250" b="0" i="0" u="none" strike="noStrike" baseline="0">
                        <a:solidFill>
                          <a:srgbClr val="000000"/>
                        </a:solidFill>
                        <a:latin typeface="Arial"/>
                        <a:ea typeface="Arial"/>
                        <a:cs typeface="Arial"/>
                      </a:defRPr>
                    </a:pPr>
                    <a:r>
                      <a:rPr lang="en-US"/>
                      <a:t>15%
38</a:t>
                    </a:r>
                  </a:p>
                </c:rich>
              </c:tx>
              <c:spPr>
                <a:noFill/>
                <a:ln w="25399">
                  <a:noFill/>
                </a:ln>
              </c:spPr>
            </c:dLbl>
            <c:dLbl>
              <c:idx val="6"/>
              <c:tx>
                <c:rich>
                  <a:bodyPr/>
                  <a:lstStyle/>
                  <a:p>
                    <a:pPr>
                      <a:defRPr sz="250" b="0" i="0" u="none" strike="noStrike" baseline="0">
                        <a:solidFill>
                          <a:srgbClr val="000000"/>
                        </a:solidFill>
                        <a:latin typeface="Arial"/>
                        <a:ea typeface="Arial"/>
                        <a:cs typeface="Arial"/>
                      </a:defRPr>
                    </a:pPr>
                    <a:r>
                      <a:rPr lang="en-US"/>
                      <a:t>14%
45</a:t>
                    </a:r>
                  </a:p>
                </c:rich>
              </c:tx>
              <c:spPr>
                <a:noFill/>
                <a:ln w="25399">
                  <a:noFill/>
                </a:ln>
              </c:spPr>
            </c:dLbl>
            <c:dLbl>
              <c:idx val="7"/>
              <c:tx>
                <c:rich>
                  <a:bodyPr/>
                  <a:lstStyle/>
                  <a:p>
                    <a:pPr>
                      <a:defRPr sz="250" b="0" i="0" u="none" strike="noStrike" baseline="0">
                        <a:solidFill>
                          <a:srgbClr val="000000"/>
                        </a:solidFill>
                        <a:latin typeface="Arial"/>
                        <a:ea typeface="Arial"/>
                        <a:cs typeface="Arial"/>
                      </a:defRPr>
                    </a:pPr>
                    <a:r>
                      <a:rPr lang="en-US"/>
                      <a:t>9%
51</a:t>
                    </a:r>
                  </a:p>
                </c:rich>
              </c:tx>
              <c:spPr>
                <a:noFill/>
                <a:ln w="25399">
                  <a:noFill/>
                </a:ln>
              </c:spPr>
            </c:dLbl>
            <c:dLbl>
              <c:idx val="8"/>
              <c:layout>
                <c:manualLayout>
                  <c:x val="2.421787683259324E-2"/>
                  <c:y val="-0.15849213543267379"/>
                </c:manualLayout>
              </c:layout>
              <c:tx>
                <c:rich>
                  <a:bodyPr/>
                  <a:lstStyle/>
                  <a:p>
                    <a:pPr>
                      <a:defRPr sz="250" b="0" i="0" u="none" strike="noStrike" baseline="0">
                        <a:solidFill>
                          <a:srgbClr val="000000"/>
                        </a:solidFill>
                        <a:latin typeface="Arial"/>
                        <a:ea typeface="Arial"/>
                        <a:cs typeface="Arial"/>
                      </a:defRPr>
                    </a:pPr>
                    <a:r>
                      <a:rPr lang="en-US"/>
                      <a:t>7%
57</a:t>
                    </a:r>
                  </a:p>
                </c:rich>
              </c:tx>
              <c:spPr>
                <a:noFill/>
                <a:ln w="25399">
                  <a:noFill/>
                </a:ln>
              </c:spPr>
              <c:dLblPos val="bestFit"/>
            </c:dLbl>
            <c:dLbl>
              <c:idx val="9"/>
              <c:layout>
                <c:manualLayout>
                  <c:x val="1.9939717968498881E-2"/>
                  <c:y val="-0.1790492819697278"/>
                </c:manualLayout>
              </c:layout>
              <c:tx>
                <c:rich>
                  <a:bodyPr/>
                  <a:lstStyle/>
                  <a:p>
                    <a:pPr>
                      <a:defRPr sz="250" b="0" i="0" u="none" strike="noStrike" baseline="0">
                        <a:solidFill>
                          <a:srgbClr val="000000"/>
                        </a:solidFill>
                        <a:latin typeface="Arial"/>
                        <a:ea typeface="Arial"/>
                        <a:cs typeface="Arial"/>
                      </a:defRPr>
                    </a:pPr>
                    <a:r>
                      <a:rPr lang="en-US"/>
                      <a:t>6%
65</a:t>
                    </a:r>
                  </a:p>
                </c:rich>
              </c:tx>
              <c:spPr>
                <a:noFill/>
                <a:ln w="25399">
                  <a:noFill/>
                </a:ln>
              </c:spPr>
              <c:dLblPos val="bestFit"/>
            </c:dLbl>
            <c:dLbl>
              <c:idx val="10"/>
              <c:layout>
                <c:manualLayout>
                  <c:x val="1.7611432523189335E-2"/>
                  <c:y val="-0.19495934891427691"/>
                </c:manualLayout>
              </c:layout>
              <c:tx>
                <c:rich>
                  <a:bodyPr/>
                  <a:lstStyle/>
                  <a:p>
                    <a:pPr>
                      <a:defRPr sz="250" b="0" i="0" u="none" strike="noStrike" baseline="0">
                        <a:solidFill>
                          <a:srgbClr val="000000"/>
                        </a:solidFill>
                        <a:latin typeface="Arial"/>
                        <a:ea typeface="Arial"/>
                        <a:cs typeface="Arial"/>
                      </a:defRPr>
                    </a:pPr>
                    <a:r>
                      <a:rPr lang="en-US"/>
                      <a:t>5%
70</a:t>
                    </a:r>
                  </a:p>
                </c:rich>
              </c:tx>
              <c:spPr>
                <a:noFill/>
                <a:ln w="25399">
                  <a:noFill/>
                </a:ln>
              </c:spPr>
              <c:dLblPos val="bestFit"/>
            </c:dLbl>
            <c:dLbl>
              <c:idx val="11"/>
              <c:layout>
                <c:manualLayout>
                  <c:x val="2.2099039123204298E-2"/>
                  <c:y val="-0.16514017975869719"/>
                </c:manualLayout>
              </c:layout>
              <c:tx>
                <c:rich>
                  <a:bodyPr/>
                  <a:lstStyle/>
                  <a:p>
                    <a:pPr>
                      <a:defRPr sz="250" b="0" i="0" u="none" strike="noStrike" baseline="0">
                        <a:solidFill>
                          <a:srgbClr val="000000"/>
                        </a:solidFill>
                        <a:latin typeface="Arial"/>
                        <a:ea typeface="Arial"/>
                        <a:cs typeface="Arial"/>
                      </a:defRPr>
                    </a:pPr>
                    <a:r>
                      <a:rPr lang="en-US"/>
                      <a:t>4%
77</a:t>
                    </a:r>
                  </a:p>
                </c:rich>
              </c:tx>
              <c:spPr>
                <a:noFill/>
                <a:ln w="25399">
                  <a:noFill/>
                </a:ln>
              </c:spPr>
              <c:dLblPos val="bestFit"/>
            </c:dLbl>
            <c:dLbl>
              <c:idx val="12"/>
              <c:layout>
                <c:manualLayout>
                  <c:x val="1.4282299593187563E-2"/>
                  <c:y val="-0.16391364342056736"/>
                </c:manualLayout>
              </c:layout>
              <c:tx>
                <c:rich>
                  <a:bodyPr/>
                  <a:lstStyle/>
                  <a:p>
                    <a:pPr>
                      <a:defRPr sz="250" b="0" i="0" u="none" strike="noStrike" baseline="0">
                        <a:solidFill>
                          <a:srgbClr val="000000"/>
                        </a:solidFill>
                        <a:latin typeface="Arial"/>
                        <a:ea typeface="Arial"/>
                        <a:cs typeface="Arial"/>
                      </a:defRPr>
                    </a:pPr>
                    <a:r>
                      <a:rPr lang="en-US"/>
                      <a:t>2%
96</a:t>
                    </a:r>
                  </a:p>
                </c:rich>
              </c:tx>
              <c:spPr>
                <a:noFill/>
                <a:ln w="25399">
                  <a:noFill/>
                </a:ln>
              </c:spPr>
              <c:dLblPos val="bestFit"/>
            </c:dLbl>
            <c:numFmt formatCode="0%" sourceLinked="0"/>
            <c:spPr>
              <a:noFill/>
              <a:ln w="25399">
                <a:noFill/>
              </a:ln>
            </c:spPr>
            <c:txPr>
              <a:bodyPr/>
              <a:lstStyle/>
              <a:p>
                <a:pPr>
                  <a:defRPr sz="250" b="0" i="0" u="none" strike="noStrike" baseline="0">
                    <a:solidFill>
                      <a:srgbClr val="000000"/>
                    </a:solidFill>
                    <a:latin typeface="Arial"/>
                    <a:ea typeface="Arial"/>
                    <a:cs typeface="Arial"/>
                  </a:defRPr>
                </a:pPr>
                <a:endParaRPr lang="en-US"/>
              </a:p>
            </c:txPr>
            <c:showPercent val="1"/>
            <c:showLeaderLines val="1"/>
          </c:dLbls>
          <c:val>
            <c:numRef>
              <c:f>Sheet1!$A$2:$M$2</c:f>
              <c:numCache>
                <c:formatCode>0%</c:formatCode>
                <c:ptCount val="13"/>
                <c:pt idx="0">
                  <c:v>1.0000000000000005E-2</c:v>
                </c:pt>
                <c:pt idx="1">
                  <c:v>0.05</c:v>
                </c:pt>
                <c:pt idx="2">
                  <c:v>8.0000000000000043E-2</c:v>
                </c:pt>
                <c:pt idx="3">
                  <c:v>0.11</c:v>
                </c:pt>
                <c:pt idx="4">
                  <c:v>0.16</c:v>
                </c:pt>
                <c:pt idx="5">
                  <c:v>0.17</c:v>
                </c:pt>
                <c:pt idx="6">
                  <c:v>0.15000000000000024</c:v>
                </c:pt>
                <c:pt idx="7">
                  <c:v>0.1</c:v>
                </c:pt>
                <c:pt idx="8">
                  <c:v>8.0000000000000043E-2</c:v>
                </c:pt>
                <c:pt idx="9">
                  <c:v>7.0000000000000021E-2</c:v>
                </c:pt>
                <c:pt idx="10">
                  <c:v>6.0000000000000032E-2</c:v>
                </c:pt>
                <c:pt idx="11">
                  <c:v>4.0000000000000022E-2</c:v>
                </c:pt>
                <c:pt idx="12">
                  <c:v>2.0000000000000011E-2</c:v>
                </c:pt>
              </c:numCache>
            </c:numRef>
          </c:val>
        </c:ser>
        <c:dLbls>
          <c:showPercent val="1"/>
        </c:dLbls>
      </c:pie3DChart>
      <c:spPr>
        <a:noFill/>
        <a:ln w="25399">
          <a:noFill/>
        </a:ln>
      </c:spPr>
    </c:plotArea>
    <c:plotVisOnly val="1"/>
    <c:dispBlanksAs val="zero"/>
  </c:chart>
  <c:spPr>
    <a:solidFill>
      <a:srgbClr val="FFFFFF"/>
    </a:solidFill>
    <a:ln w="3175">
      <a:solidFill>
        <a:srgbClr val="000000"/>
      </a:solidFill>
      <a:prstDash val="solid"/>
    </a:ln>
  </c:spPr>
  <c:txPr>
    <a:bodyPr/>
    <a:lstStyle/>
    <a:p>
      <a:pPr>
        <a:defRPr sz="325"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view3D>
      <c:perspective val="0"/>
    </c:view3D>
    <c:plotArea>
      <c:layout>
        <c:manualLayout>
          <c:layoutTarget val="inner"/>
          <c:xMode val="edge"/>
          <c:yMode val="edge"/>
          <c:x val="0.32748538011696027"/>
          <c:y val="0.37362637362637452"/>
          <c:w val="0.33918128654970853"/>
          <c:h val="0.25274725274725274"/>
        </c:manualLayout>
      </c:layout>
      <c:pie3DChart>
        <c:varyColors val="1"/>
        <c:ser>
          <c:idx val="0"/>
          <c:order val="0"/>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dPt>
            <c:idx val="10"/>
            <c:spPr>
              <a:solidFill>
                <a:srgbClr val="FFFF00"/>
              </a:solidFill>
              <a:ln w="12700">
                <a:solidFill>
                  <a:srgbClr val="000000"/>
                </a:solidFill>
                <a:prstDash val="solid"/>
              </a:ln>
            </c:spPr>
          </c:dPt>
          <c:dPt>
            <c:idx val="11"/>
            <c:spPr>
              <a:solidFill>
                <a:srgbClr val="00FFFF"/>
              </a:solidFill>
              <a:ln w="12700">
                <a:solidFill>
                  <a:srgbClr val="000000"/>
                </a:solidFill>
                <a:prstDash val="solid"/>
              </a:ln>
            </c:spPr>
          </c:dPt>
          <c:dPt>
            <c:idx val="12"/>
            <c:spPr>
              <a:solidFill>
                <a:srgbClr val="800080"/>
              </a:solidFill>
              <a:ln w="12700">
                <a:solidFill>
                  <a:srgbClr val="000000"/>
                </a:solidFill>
                <a:prstDash val="solid"/>
              </a:ln>
            </c:spPr>
          </c:dPt>
          <c:dLbls>
            <c:dLbl>
              <c:idx val="0"/>
              <c:layout>
                <c:manualLayout>
                  <c:x val="-1.9715288625358963E-2"/>
                  <c:y val="-0.17590183985622551"/>
                </c:manualLayout>
              </c:layout>
              <c:tx>
                <c:rich>
                  <a:bodyPr/>
                  <a:lstStyle/>
                  <a:p>
                    <a:pPr>
                      <a:defRPr sz="250" b="0" i="0" u="none" strike="noStrike" baseline="0">
                        <a:solidFill>
                          <a:srgbClr val="000000"/>
                        </a:solidFill>
                        <a:latin typeface="Arial"/>
                        <a:ea typeface="Arial"/>
                        <a:cs typeface="Arial"/>
                      </a:defRPr>
                    </a:pPr>
                    <a:r>
                      <a:rPr lang="en-US"/>
                      <a:t>2%
15</a:t>
                    </a:r>
                  </a:p>
                </c:rich>
              </c:tx>
              <c:spPr>
                <a:noFill/>
                <a:ln w="25401">
                  <a:noFill/>
                </a:ln>
              </c:spPr>
              <c:dLblPos val="bestFit"/>
            </c:dLbl>
            <c:dLbl>
              <c:idx val="1"/>
              <c:tx>
                <c:rich>
                  <a:bodyPr/>
                  <a:lstStyle/>
                  <a:p>
                    <a:pPr>
                      <a:defRPr sz="250" b="0" i="0" u="none" strike="noStrike" baseline="0">
                        <a:solidFill>
                          <a:srgbClr val="000000"/>
                        </a:solidFill>
                        <a:latin typeface="Arial"/>
                        <a:ea typeface="Arial"/>
                        <a:cs typeface="Arial"/>
                      </a:defRPr>
                    </a:pPr>
                    <a:r>
                      <a:rPr lang="en-US"/>
                      <a:t>12%
25</a:t>
                    </a:r>
                  </a:p>
                </c:rich>
              </c:tx>
              <c:spPr>
                <a:noFill/>
                <a:ln w="25401">
                  <a:noFill/>
                </a:ln>
              </c:spPr>
            </c:dLbl>
            <c:dLbl>
              <c:idx val="2"/>
              <c:tx>
                <c:rich>
                  <a:bodyPr/>
                  <a:lstStyle/>
                  <a:p>
                    <a:pPr>
                      <a:defRPr sz="250" b="0" i="0" u="none" strike="noStrike" baseline="0">
                        <a:solidFill>
                          <a:srgbClr val="000000"/>
                        </a:solidFill>
                        <a:latin typeface="Arial"/>
                        <a:ea typeface="Arial"/>
                        <a:cs typeface="Arial"/>
                      </a:defRPr>
                    </a:pPr>
                    <a:r>
                      <a:rPr lang="en-US"/>
                      <a:t>14%
35</a:t>
                    </a:r>
                  </a:p>
                </c:rich>
              </c:tx>
              <c:spPr>
                <a:noFill/>
                <a:ln w="25401">
                  <a:noFill/>
                </a:ln>
              </c:spPr>
            </c:dLbl>
            <c:dLbl>
              <c:idx val="3"/>
              <c:tx>
                <c:rich>
                  <a:bodyPr/>
                  <a:lstStyle/>
                  <a:p>
                    <a:pPr>
                      <a:defRPr sz="250" b="0" i="0" u="none" strike="noStrike" baseline="0">
                        <a:solidFill>
                          <a:srgbClr val="000000"/>
                        </a:solidFill>
                        <a:latin typeface="Arial"/>
                        <a:ea typeface="Arial"/>
                        <a:cs typeface="Arial"/>
                      </a:defRPr>
                    </a:pPr>
                    <a:r>
                      <a:rPr lang="en-US"/>
                      <a:t>17%
45</a:t>
                    </a:r>
                  </a:p>
                </c:rich>
              </c:tx>
              <c:spPr>
                <a:noFill/>
                <a:ln w="25401">
                  <a:noFill/>
                </a:ln>
              </c:spPr>
            </c:dLbl>
            <c:dLbl>
              <c:idx val="4"/>
              <c:tx>
                <c:rich>
                  <a:bodyPr/>
                  <a:lstStyle/>
                  <a:p>
                    <a:pPr>
                      <a:defRPr sz="250" b="0" i="0" u="none" strike="noStrike" baseline="0">
                        <a:solidFill>
                          <a:srgbClr val="000000"/>
                        </a:solidFill>
                        <a:latin typeface="Arial"/>
                        <a:ea typeface="Arial"/>
                        <a:cs typeface="Arial"/>
                      </a:defRPr>
                    </a:pPr>
                    <a:r>
                      <a:rPr lang="en-US"/>
                      <a:t>14%
55</a:t>
                    </a:r>
                  </a:p>
                </c:rich>
              </c:tx>
              <c:spPr>
                <a:noFill/>
                <a:ln w="25401">
                  <a:noFill/>
                </a:ln>
              </c:spPr>
            </c:dLbl>
            <c:dLbl>
              <c:idx val="5"/>
              <c:tx>
                <c:rich>
                  <a:bodyPr/>
                  <a:lstStyle/>
                  <a:p>
                    <a:pPr>
                      <a:defRPr sz="250" b="0" i="0" u="none" strike="noStrike" baseline="0">
                        <a:solidFill>
                          <a:srgbClr val="000000"/>
                        </a:solidFill>
                        <a:latin typeface="Arial"/>
                        <a:ea typeface="Arial"/>
                        <a:cs typeface="Arial"/>
                      </a:defRPr>
                    </a:pPr>
                    <a:r>
                      <a:rPr lang="en-US"/>
                      <a:t>12%
65</a:t>
                    </a:r>
                  </a:p>
                </c:rich>
              </c:tx>
              <c:spPr>
                <a:noFill/>
                <a:ln w="25401">
                  <a:noFill/>
                </a:ln>
              </c:spPr>
            </c:dLbl>
            <c:dLbl>
              <c:idx val="6"/>
              <c:layout>
                <c:manualLayout>
                  <c:x val="5.2989327751042407E-4"/>
                  <c:y val="-0.10687321114038466"/>
                </c:manualLayout>
              </c:layout>
              <c:tx>
                <c:rich>
                  <a:bodyPr/>
                  <a:lstStyle/>
                  <a:p>
                    <a:pPr>
                      <a:defRPr sz="250" b="0" i="0" u="none" strike="noStrike" baseline="0">
                        <a:solidFill>
                          <a:srgbClr val="000000"/>
                        </a:solidFill>
                        <a:latin typeface="Arial"/>
                        <a:ea typeface="Arial"/>
                        <a:cs typeface="Arial"/>
                      </a:defRPr>
                    </a:pPr>
                    <a:r>
                      <a:rPr lang="en-US"/>
                      <a:t>7%
75</a:t>
                    </a:r>
                  </a:p>
                </c:rich>
              </c:tx>
              <c:spPr>
                <a:noFill/>
                <a:ln w="25401">
                  <a:noFill/>
                </a:ln>
              </c:spPr>
              <c:dLblPos val="bestFit"/>
            </c:dLbl>
            <c:dLbl>
              <c:idx val="7"/>
              <c:layout>
                <c:manualLayout>
                  <c:x val="1.6323546601209341E-2"/>
                  <c:y val="-0.166900927834949"/>
                </c:manualLayout>
              </c:layout>
              <c:tx>
                <c:rich>
                  <a:bodyPr/>
                  <a:lstStyle/>
                  <a:p>
                    <a:pPr>
                      <a:defRPr sz="250" b="0" i="0" u="none" strike="noStrike" baseline="0">
                        <a:solidFill>
                          <a:srgbClr val="000000"/>
                        </a:solidFill>
                        <a:latin typeface="Arial"/>
                        <a:ea typeface="Arial"/>
                        <a:cs typeface="Arial"/>
                      </a:defRPr>
                    </a:pPr>
                    <a:r>
                      <a:rPr lang="en-US"/>
                      <a:t>8%
85</a:t>
                    </a:r>
                  </a:p>
                </c:rich>
              </c:tx>
              <c:spPr>
                <a:noFill/>
                <a:ln w="25401">
                  <a:noFill/>
                </a:ln>
              </c:spPr>
              <c:dLblPos val="bestFit"/>
            </c:dLbl>
            <c:dLbl>
              <c:idx val="8"/>
              <c:layout>
                <c:manualLayout>
                  <c:x val="1.745063243612768E-2"/>
                  <c:y val="-0.20469054630770619"/>
                </c:manualLayout>
              </c:layout>
              <c:tx>
                <c:rich>
                  <a:bodyPr/>
                  <a:lstStyle/>
                  <a:p>
                    <a:pPr>
                      <a:defRPr sz="250" b="0" i="0" u="none" strike="noStrike" baseline="0">
                        <a:solidFill>
                          <a:srgbClr val="000000"/>
                        </a:solidFill>
                        <a:latin typeface="Arial"/>
                        <a:ea typeface="Arial"/>
                        <a:cs typeface="Arial"/>
                      </a:defRPr>
                    </a:pPr>
                    <a:r>
                      <a:rPr lang="en-US"/>
                      <a:t>4%
95</a:t>
                    </a:r>
                  </a:p>
                </c:rich>
              </c:tx>
              <c:spPr>
                <a:noFill/>
                <a:ln w="25401">
                  <a:noFill/>
                </a:ln>
              </c:spPr>
              <c:dLblPos val="bestFit"/>
            </c:dLbl>
            <c:dLbl>
              <c:idx val="9"/>
              <c:layout>
                <c:manualLayout>
                  <c:x val="2.8311177701977715E-2"/>
                  <c:y val="-0.18723738312551819"/>
                </c:manualLayout>
              </c:layout>
              <c:tx>
                <c:rich>
                  <a:bodyPr/>
                  <a:lstStyle/>
                  <a:p>
                    <a:pPr>
                      <a:defRPr sz="250" b="0" i="0" u="none" strike="noStrike" baseline="0">
                        <a:solidFill>
                          <a:srgbClr val="000000"/>
                        </a:solidFill>
                        <a:latin typeface="Arial"/>
                        <a:ea typeface="Arial"/>
                        <a:cs typeface="Arial"/>
                      </a:defRPr>
                    </a:pPr>
                    <a:r>
                      <a:rPr lang="en-US"/>
                      <a:t>3%
105</a:t>
                    </a:r>
                  </a:p>
                </c:rich>
              </c:tx>
              <c:spPr>
                <a:noFill/>
                <a:ln w="25401">
                  <a:noFill/>
                </a:ln>
              </c:spPr>
              <c:dLblPos val="bestFit"/>
            </c:dLbl>
            <c:dLbl>
              <c:idx val="10"/>
              <c:layout>
                <c:manualLayout>
                  <c:x val="2.0871136047265443E-2"/>
                  <c:y val="-0.18873572368440691"/>
                </c:manualLayout>
              </c:layout>
              <c:tx>
                <c:rich>
                  <a:bodyPr/>
                  <a:lstStyle/>
                  <a:p>
                    <a:pPr>
                      <a:defRPr sz="250" b="0" i="0" u="none" strike="noStrike" baseline="0">
                        <a:solidFill>
                          <a:srgbClr val="000000"/>
                        </a:solidFill>
                        <a:latin typeface="Arial"/>
                        <a:ea typeface="Arial"/>
                        <a:cs typeface="Arial"/>
                      </a:defRPr>
                    </a:pPr>
                    <a:r>
                      <a:rPr lang="en-US"/>
                      <a:t>2%
115</a:t>
                    </a:r>
                  </a:p>
                </c:rich>
              </c:tx>
              <c:spPr>
                <a:noFill/>
                <a:ln w="25401">
                  <a:noFill/>
                </a:ln>
              </c:spPr>
              <c:dLblPos val="bestFit"/>
            </c:dLbl>
            <c:dLbl>
              <c:idx val="11"/>
              <c:layout>
                <c:manualLayout>
                  <c:x val="2.3940266575989792E-2"/>
                  <c:y val="-0.17590183985622551"/>
                </c:manualLayout>
              </c:layout>
              <c:tx>
                <c:rich>
                  <a:bodyPr/>
                  <a:lstStyle/>
                  <a:p>
                    <a:pPr>
                      <a:defRPr sz="250" b="0" i="0" u="none" strike="noStrike" baseline="0">
                        <a:solidFill>
                          <a:srgbClr val="000000"/>
                        </a:solidFill>
                        <a:latin typeface="Arial"/>
                        <a:ea typeface="Arial"/>
                        <a:cs typeface="Arial"/>
                      </a:defRPr>
                    </a:pPr>
                    <a:r>
                      <a:rPr lang="en-US"/>
                      <a:t>3%
125</a:t>
                    </a:r>
                  </a:p>
                </c:rich>
              </c:tx>
              <c:spPr>
                <a:noFill/>
                <a:ln w="25401">
                  <a:noFill/>
                </a:ln>
              </c:spPr>
              <c:dLblPos val="bestFit"/>
            </c:dLbl>
            <c:dLbl>
              <c:idx val="12"/>
              <c:delete val="1"/>
            </c:dLbl>
            <c:numFmt formatCode="0%" sourceLinked="0"/>
            <c:spPr>
              <a:noFill/>
              <a:ln w="25401">
                <a:noFill/>
              </a:ln>
            </c:spPr>
            <c:txPr>
              <a:bodyPr/>
              <a:lstStyle/>
              <a:p>
                <a:pPr>
                  <a:defRPr sz="250" b="0" i="0" u="none" strike="noStrike" baseline="0">
                    <a:solidFill>
                      <a:srgbClr val="000000"/>
                    </a:solidFill>
                    <a:latin typeface="Arial"/>
                    <a:ea typeface="Arial"/>
                    <a:cs typeface="Arial"/>
                  </a:defRPr>
                </a:pPr>
                <a:endParaRPr lang="en-US"/>
              </a:p>
            </c:txPr>
            <c:showPercent val="1"/>
            <c:showLeaderLines val="1"/>
          </c:dLbls>
          <c:val>
            <c:numRef>
              <c:f>Sheet1!$A$2:$M$2</c:f>
              <c:numCache>
                <c:formatCode>0%</c:formatCode>
                <c:ptCount val="13"/>
                <c:pt idx="0">
                  <c:v>2.0000000000000011E-2</c:v>
                </c:pt>
                <c:pt idx="1">
                  <c:v>0.12000000000000002</c:v>
                </c:pt>
                <c:pt idx="2">
                  <c:v>0.15000000000000024</c:v>
                </c:pt>
                <c:pt idx="3">
                  <c:v>0.18000000000000024</c:v>
                </c:pt>
                <c:pt idx="4">
                  <c:v>0.14000000000000001</c:v>
                </c:pt>
                <c:pt idx="5">
                  <c:v>0.12000000000000002</c:v>
                </c:pt>
                <c:pt idx="6">
                  <c:v>7.0000000000000021E-2</c:v>
                </c:pt>
                <c:pt idx="7">
                  <c:v>8.0000000000000043E-2</c:v>
                </c:pt>
                <c:pt idx="8">
                  <c:v>4.0000000000000022E-2</c:v>
                </c:pt>
                <c:pt idx="9">
                  <c:v>3.0000000000000002E-2</c:v>
                </c:pt>
                <c:pt idx="10">
                  <c:v>2.0000000000000011E-2</c:v>
                </c:pt>
                <c:pt idx="11">
                  <c:v>3.0000000000000002E-2</c:v>
                </c:pt>
              </c:numCache>
            </c:numRef>
          </c:val>
        </c:ser>
        <c:dLbls>
          <c:showPercent val="1"/>
        </c:dLbls>
      </c:pie3DChart>
      <c:spPr>
        <a:noFill/>
        <a:ln w="25401">
          <a:noFill/>
        </a:ln>
      </c:spPr>
    </c:plotArea>
    <c:plotVisOnly val="1"/>
    <c:dispBlanksAs val="zero"/>
  </c:chart>
  <c:spPr>
    <a:solidFill>
      <a:srgbClr val="FFFFFF"/>
    </a:solidFill>
    <a:ln w="3175">
      <a:solidFill>
        <a:srgbClr val="000000"/>
      </a:solidFill>
      <a:prstDash val="solid"/>
    </a:ln>
  </c:spPr>
  <c:txPr>
    <a:bodyPr/>
    <a:lstStyle/>
    <a:p>
      <a:pPr>
        <a:defRPr sz="32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2068</Words>
  <Characters>11789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Uputstvo za pisanje rada</vt:lpstr>
    </vt:vector>
  </TitlesOfParts>
  <Company>****</Company>
  <LinksUpToDate>false</LinksUpToDate>
  <CharactersWithSpaces>13830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Uputstvo za pisanje rada</dc:title>
  <dc:creator>CP</dc:creator>
  <cp:lastModifiedBy>Pedja</cp:lastModifiedBy>
  <cp:revision>11</cp:revision>
  <cp:lastPrinted>2017-06-07T10:53:00Z</cp:lastPrinted>
  <dcterms:created xsi:type="dcterms:W3CDTF">2017-10-10T12:10:00Z</dcterms:created>
  <dcterms:modified xsi:type="dcterms:W3CDTF">2017-10-14T10:54:00Z</dcterms:modified>
</cp:coreProperties>
</file>