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3D" w:rsidRDefault="0099603D" w:rsidP="00044557">
      <w:pPr>
        <w:pStyle w:val="ListParagraph"/>
        <w:spacing w:after="0" w:line="240" w:lineRule="auto"/>
        <w:ind w:left="0"/>
        <w:rPr>
          <w:rFonts w:cs="Times New Roman"/>
          <w:color w:val="000000" w:themeColor="text1"/>
          <w:sz w:val="20"/>
          <w:szCs w:val="20"/>
        </w:rPr>
      </w:pPr>
      <w:bookmarkStart w:id="0" w:name="_Toc465805969"/>
    </w:p>
    <w:p w:rsidR="000C7C34" w:rsidRDefault="000C7C34" w:rsidP="00044557">
      <w:pPr>
        <w:pStyle w:val="ListParagraph"/>
        <w:spacing w:after="0" w:line="240" w:lineRule="auto"/>
        <w:ind w:left="0"/>
        <w:rPr>
          <w:rFonts w:cs="Times New Roman"/>
          <w:color w:val="000000" w:themeColor="text1"/>
          <w:sz w:val="20"/>
          <w:szCs w:val="20"/>
        </w:rPr>
      </w:pPr>
    </w:p>
    <w:p w:rsidR="009764E8" w:rsidRPr="00AC7E60" w:rsidRDefault="00EA4727" w:rsidP="000445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12121"/>
          <w:sz w:val="20"/>
          <w:szCs w:val="20"/>
        </w:rPr>
      </w:pPr>
      <w:r w:rsidRPr="00AC7E60">
        <w:rPr>
          <w:rFonts w:eastAsia="Times New Roman" w:cs="Times New Roman"/>
          <w:b/>
          <w:color w:val="212121"/>
          <w:sz w:val="20"/>
          <w:szCs w:val="20"/>
        </w:rPr>
        <w:t>STOCK EXCHANGE OPERATIONS ON THE EXAMPLE OF THE BANJA LUKA STOCK EXCHANGE</w:t>
      </w:r>
    </w:p>
    <w:p w:rsidR="009764E8" w:rsidRPr="00AC7E60" w:rsidRDefault="009764E8" w:rsidP="00044557">
      <w:pPr>
        <w:pStyle w:val="ListParagraph"/>
        <w:spacing w:after="0" w:line="240" w:lineRule="auto"/>
        <w:ind w:left="0"/>
        <w:rPr>
          <w:rFonts w:cs="Times New Roman"/>
          <w:color w:val="000000" w:themeColor="text1"/>
          <w:sz w:val="20"/>
          <w:szCs w:val="20"/>
          <w:lang w:val="bs-Cyrl-BA"/>
        </w:rPr>
      </w:pPr>
    </w:p>
    <w:p w:rsidR="00AE48AC" w:rsidRPr="00AE48AC" w:rsidRDefault="009620F2" w:rsidP="00AE48AC">
      <w:pPr>
        <w:pStyle w:val="ListParagraph"/>
        <w:spacing w:after="0" w:line="240" w:lineRule="auto"/>
        <w:ind w:left="0"/>
        <w:jc w:val="center"/>
        <w:rPr>
          <w:rFonts w:cs="Times New Roman"/>
          <w:b/>
          <w:color w:val="000000" w:themeColor="text1"/>
          <w:sz w:val="20"/>
          <w:szCs w:val="20"/>
        </w:rPr>
      </w:pPr>
      <w:r w:rsidRPr="00AE48AC">
        <w:rPr>
          <w:rFonts w:cs="Times New Roman"/>
          <w:b/>
          <w:color w:val="000000" w:themeColor="text1"/>
          <w:sz w:val="20"/>
          <w:szCs w:val="20"/>
        </w:rPr>
        <w:t>Milosav Ikonić</w:t>
      </w:r>
      <w:r w:rsidR="00AE48AC" w:rsidRPr="00AE48AC">
        <w:rPr>
          <w:rFonts w:cs="Times New Roman"/>
          <w:b/>
          <w:color w:val="000000" w:themeColor="text1"/>
          <w:sz w:val="20"/>
          <w:szCs w:val="20"/>
          <w:vertAlign w:val="superscript"/>
        </w:rPr>
        <w:t>1</w:t>
      </w:r>
      <w:r w:rsidR="00AE48AC" w:rsidRPr="00AE48AC">
        <w:rPr>
          <w:rFonts w:cs="Times New Roman"/>
          <w:b/>
          <w:color w:val="000000" w:themeColor="text1"/>
          <w:sz w:val="20"/>
          <w:szCs w:val="20"/>
        </w:rPr>
        <w:t>, Student, Milutin Đuričić</w:t>
      </w:r>
      <w:r w:rsidR="00AE48AC" w:rsidRPr="00AE48AC">
        <w:rPr>
          <w:rFonts w:cs="Times New Roman"/>
          <w:b/>
          <w:color w:val="000000" w:themeColor="text1"/>
          <w:sz w:val="20"/>
          <w:szCs w:val="20"/>
          <w:vertAlign w:val="superscript"/>
        </w:rPr>
        <w:t>2</w:t>
      </w:r>
      <w:r w:rsidR="00AE48AC" w:rsidRPr="00AE48AC">
        <w:rPr>
          <w:rFonts w:cs="Times New Roman"/>
          <w:b/>
          <w:color w:val="000000" w:themeColor="text1"/>
          <w:sz w:val="20"/>
          <w:szCs w:val="20"/>
        </w:rPr>
        <w:t>; PhD,</w:t>
      </w:r>
    </w:p>
    <w:p w:rsidR="009764E8" w:rsidRPr="00AC7E60" w:rsidRDefault="00AE48AC" w:rsidP="00AE48AC">
      <w:pPr>
        <w:pStyle w:val="ListParagraph"/>
        <w:spacing w:after="0" w:line="240" w:lineRule="auto"/>
        <w:ind w:left="0"/>
        <w:jc w:val="center"/>
        <w:rPr>
          <w:rFonts w:cs="Times New Roman"/>
          <w:color w:val="000000" w:themeColor="text1"/>
          <w:sz w:val="20"/>
          <w:szCs w:val="20"/>
        </w:rPr>
      </w:pPr>
      <w:r w:rsidRPr="00AE48AC">
        <w:rPr>
          <w:rFonts w:cs="Times New Roman"/>
          <w:b/>
          <w:color w:val="000000" w:themeColor="text1"/>
          <w:sz w:val="20"/>
          <w:szCs w:val="20"/>
          <w:vertAlign w:val="superscript"/>
        </w:rPr>
        <w:t>1</w:t>
      </w:r>
      <w:r w:rsidRPr="00AE48AC">
        <w:rPr>
          <w:rFonts w:cs="Times New Roman"/>
          <w:color w:val="000000" w:themeColor="text1"/>
          <w:sz w:val="20"/>
          <w:szCs w:val="20"/>
        </w:rPr>
        <w:t>Rogatica, Serbian Republic, Bosnia and Herzegovina</w:t>
      </w:r>
      <w:r>
        <w:rPr>
          <w:rFonts w:cs="Times New Roman"/>
          <w:color w:val="000000" w:themeColor="text1"/>
          <w:sz w:val="20"/>
          <w:szCs w:val="20"/>
        </w:rPr>
        <w:t>, e – mail:milosavikonic@gmail.com</w:t>
      </w:r>
    </w:p>
    <w:p w:rsidR="009764E8" w:rsidRPr="00AC7E60" w:rsidRDefault="00AE48AC" w:rsidP="00AE48AC">
      <w:pPr>
        <w:pStyle w:val="ListParagraph"/>
        <w:spacing w:after="0" w:line="240" w:lineRule="auto"/>
        <w:ind w:left="0"/>
        <w:jc w:val="center"/>
        <w:rPr>
          <w:rFonts w:cs="Times New Roman"/>
          <w:color w:val="000000" w:themeColor="text1"/>
          <w:sz w:val="20"/>
          <w:szCs w:val="20"/>
          <w:lang w:val="bs-Cyrl-BA"/>
        </w:rPr>
      </w:pPr>
      <w:r w:rsidRPr="00AE48AC">
        <w:rPr>
          <w:rFonts w:cs="Times New Roman"/>
          <w:b/>
          <w:color w:val="000000" w:themeColor="text1"/>
          <w:sz w:val="20"/>
          <w:szCs w:val="20"/>
          <w:vertAlign w:val="superscript"/>
        </w:rPr>
        <w:t>2</w:t>
      </w:r>
      <w:r>
        <w:rPr>
          <w:rFonts w:cs="Times New Roman"/>
          <w:sz w:val="20"/>
          <w:szCs w:val="20"/>
          <w:lang w:val="sr-Latn-CS"/>
        </w:rPr>
        <w:t>High Business Technical School of Applied Studies, Uzice, SERBIA, e-mail: milutin.djuricic</w:t>
      </w:r>
      <w:r>
        <w:rPr>
          <w:rFonts w:cs="Times New Roman"/>
          <w:sz w:val="20"/>
          <w:szCs w:val="20"/>
        </w:rPr>
        <w:t>@v</w:t>
      </w:r>
      <w:r>
        <w:rPr>
          <w:rFonts w:cs="Times New Roman"/>
          <w:sz w:val="20"/>
          <w:szCs w:val="20"/>
          <w:lang w:val="sr-Latn-CS"/>
        </w:rPr>
        <w:t>pts.edu.rs</w:t>
      </w:r>
    </w:p>
    <w:p w:rsidR="0099603D" w:rsidRPr="00AC7E60" w:rsidRDefault="0099603D" w:rsidP="00044557">
      <w:pPr>
        <w:pStyle w:val="ListParagraph"/>
        <w:spacing w:after="0" w:line="240" w:lineRule="auto"/>
        <w:ind w:left="0"/>
        <w:rPr>
          <w:rFonts w:cs="Times New Roman"/>
          <w:color w:val="000000" w:themeColor="text1"/>
          <w:sz w:val="20"/>
          <w:szCs w:val="20"/>
          <w:lang w:val="bs-Cyrl-BA"/>
        </w:rPr>
      </w:pPr>
    </w:p>
    <w:p w:rsidR="00BD6D46" w:rsidRPr="00AC7E60" w:rsidRDefault="0099603D" w:rsidP="00044557">
      <w:pPr>
        <w:spacing w:after="0" w:line="240" w:lineRule="auto"/>
        <w:rPr>
          <w:rFonts w:cs="Times New Roman"/>
          <w:b/>
          <w:sz w:val="20"/>
          <w:szCs w:val="20"/>
        </w:rPr>
      </w:pPr>
      <w:bookmarkStart w:id="1" w:name="_Toc465805946"/>
      <w:r w:rsidRPr="00AC7E60">
        <w:rPr>
          <w:rFonts w:cs="Times New Roman"/>
          <w:b/>
          <w:sz w:val="20"/>
          <w:szCs w:val="20"/>
        </w:rPr>
        <w:t>Summary:</w:t>
      </w:r>
      <w:r w:rsidRPr="00AC7E60">
        <w:rPr>
          <w:rFonts w:cs="Times New Roman"/>
          <w:sz w:val="20"/>
          <w:szCs w:val="20"/>
        </w:rPr>
        <w:t xml:space="preserve">Through this work is explained the notion of stock exchange and its functions, as well as the short history of the stock exchange and </w:t>
      </w:r>
      <w:r w:rsidR="00FC47DC" w:rsidRPr="00AC7E60">
        <w:rPr>
          <w:rFonts w:cs="Times New Roman"/>
          <w:sz w:val="20"/>
          <w:szCs w:val="20"/>
        </w:rPr>
        <w:t>stock exchange businesson the example of</w:t>
      </w:r>
      <w:r w:rsidRPr="00AC7E60">
        <w:rPr>
          <w:rFonts w:cs="Times New Roman"/>
          <w:sz w:val="20"/>
          <w:szCs w:val="20"/>
        </w:rPr>
        <w:t xml:space="preserve"> the Banja Luka stock exchange</w:t>
      </w:r>
      <w:r w:rsidR="00FC47DC" w:rsidRPr="00AC7E60">
        <w:rPr>
          <w:rFonts w:cs="Times New Roman"/>
          <w:sz w:val="20"/>
          <w:szCs w:val="20"/>
        </w:rPr>
        <w:t xml:space="preserve"> market</w:t>
      </w:r>
      <w:r w:rsidRPr="00AC7E60">
        <w:rPr>
          <w:rFonts w:cs="Times New Roman"/>
          <w:sz w:val="20"/>
          <w:szCs w:val="20"/>
        </w:rPr>
        <w:t xml:space="preserve">. </w:t>
      </w:r>
      <w:r w:rsidR="009620F2" w:rsidRPr="00AC7E60">
        <w:rPr>
          <w:rFonts w:cs="Times New Roman"/>
          <w:sz w:val="20"/>
          <w:szCs w:val="20"/>
        </w:rPr>
        <w:t>It is d</w:t>
      </w:r>
      <w:r w:rsidRPr="00AC7E60">
        <w:rPr>
          <w:rFonts w:cs="Times New Roman"/>
          <w:sz w:val="20"/>
          <w:szCs w:val="20"/>
        </w:rPr>
        <w:t>escribed work</w:t>
      </w:r>
      <w:r w:rsidR="009620F2" w:rsidRPr="00AC7E60">
        <w:rPr>
          <w:rFonts w:cs="Times New Roman"/>
          <w:sz w:val="20"/>
          <w:szCs w:val="20"/>
        </w:rPr>
        <w:t xml:space="preserve"> of the Banja Luka stock exchange market</w:t>
      </w:r>
      <w:r w:rsidRPr="00AC7E60">
        <w:rPr>
          <w:rFonts w:cs="Times New Roman"/>
          <w:sz w:val="20"/>
          <w:szCs w:val="20"/>
        </w:rPr>
        <w:t xml:space="preserve">, strategic objectives, systems of business, calculation and the settlement and the cost of trading. </w:t>
      </w:r>
      <w:r w:rsidR="009620F2" w:rsidRPr="00AC7E60">
        <w:rPr>
          <w:rFonts w:cs="Times New Roman"/>
          <w:sz w:val="20"/>
          <w:szCs w:val="20"/>
        </w:rPr>
        <w:t>T</w:t>
      </w:r>
      <w:r w:rsidRPr="00AC7E60">
        <w:rPr>
          <w:rFonts w:cs="Times New Roman"/>
          <w:sz w:val="20"/>
          <w:szCs w:val="20"/>
        </w:rPr>
        <w:t xml:space="preserve">he work of the Banja Luka Stock Exchange </w:t>
      </w:r>
      <w:r w:rsidR="00792167" w:rsidRPr="00AC7E60">
        <w:rPr>
          <w:rFonts w:cs="Times New Roman"/>
          <w:sz w:val="20"/>
          <w:szCs w:val="20"/>
        </w:rPr>
        <w:t xml:space="preserve">is </w:t>
      </w:r>
      <w:r w:rsidR="009620F2" w:rsidRPr="00AC7E60">
        <w:rPr>
          <w:rFonts w:cs="Times New Roman"/>
          <w:sz w:val="20"/>
          <w:szCs w:val="20"/>
        </w:rPr>
        <w:t xml:space="preserve">compered </w:t>
      </w:r>
      <w:r w:rsidRPr="00AC7E60">
        <w:rPr>
          <w:rFonts w:cs="Times New Roman"/>
          <w:sz w:val="20"/>
          <w:szCs w:val="20"/>
        </w:rPr>
        <w:t xml:space="preserve">with stock exchange in the other entity of the same state and that </w:t>
      </w:r>
      <w:r w:rsidR="00792167" w:rsidRPr="00AC7E60">
        <w:rPr>
          <w:rFonts w:cs="Times New Roman"/>
          <w:sz w:val="20"/>
          <w:szCs w:val="20"/>
        </w:rPr>
        <w:t>is</w:t>
      </w:r>
      <w:r w:rsidRPr="00AC7E60">
        <w:rPr>
          <w:rFonts w:cs="Times New Roman"/>
          <w:sz w:val="20"/>
          <w:szCs w:val="20"/>
        </w:rPr>
        <w:t xml:space="preserve"> the Sarajevo Stock Exchange</w:t>
      </w:r>
      <w:r w:rsidR="00792167" w:rsidRPr="00AC7E60">
        <w:rPr>
          <w:rFonts w:cs="Times New Roman"/>
          <w:sz w:val="20"/>
          <w:szCs w:val="20"/>
        </w:rPr>
        <w:t xml:space="preserve"> market</w:t>
      </w:r>
      <w:r w:rsidRPr="00AC7E60">
        <w:rPr>
          <w:rFonts w:cs="Times New Roman"/>
          <w:sz w:val="20"/>
          <w:szCs w:val="20"/>
        </w:rPr>
        <w:t xml:space="preserve">. </w:t>
      </w:r>
      <w:r w:rsidRPr="00AC7E60">
        <w:rPr>
          <w:rFonts w:cs="Times New Roman"/>
          <w:color w:val="000000" w:themeColor="text1"/>
          <w:sz w:val="20"/>
          <w:szCs w:val="20"/>
        </w:rPr>
        <w:t>It was pointed out that the rights and the proper decision in the right time means good business move. Whether the decision is correct is usually later learns but in a moment before she must be taken.</w:t>
      </w:r>
    </w:p>
    <w:p w:rsidR="00BD6D46" w:rsidRPr="00AC7E60" w:rsidRDefault="00BD6D46" w:rsidP="00044557">
      <w:pPr>
        <w:spacing w:after="0" w:line="240" w:lineRule="auto"/>
        <w:rPr>
          <w:rFonts w:cs="Times New Roman"/>
          <w:b/>
          <w:sz w:val="20"/>
          <w:szCs w:val="20"/>
          <w:lang w:val="bs-Cyrl-BA"/>
        </w:rPr>
      </w:pPr>
    </w:p>
    <w:p w:rsidR="00E14DD6" w:rsidRPr="00AC7E60" w:rsidRDefault="00E14DD6" w:rsidP="00044557">
      <w:pPr>
        <w:spacing w:after="0" w:line="240" w:lineRule="auto"/>
        <w:rPr>
          <w:rFonts w:cs="Times New Roman"/>
          <w:b/>
          <w:sz w:val="20"/>
          <w:szCs w:val="20"/>
        </w:rPr>
      </w:pPr>
      <w:r w:rsidRPr="00AC7E60">
        <w:rPr>
          <w:rFonts w:cs="Times New Roman"/>
          <w:b/>
          <w:sz w:val="20"/>
          <w:szCs w:val="20"/>
        </w:rPr>
        <w:t>Key words:</w:t>
      </w:r>
      <w:r w:rsidRPr="00AC7E60">
        <w:rPr>
          <w:rFonts w:cs="Times New Roman"/>
          <w:sz w:val="20"/>
          <w:szCs w:val="20"/>
        </w:rPr>
        <w:t xml:space="preserve">Stock Exchange, </w:t>
      </w:r>
      <w:r w:rsidR="009764E8" w:rsidRPr="00AC7E60">
        <w:rPr>
          <w:rFonts w:cs="Times New Roman"/>
          <w:sz w:val="20"/>
          <w:szCs w:val="20"/>
        </w:rPr>
        <w:t>Stock market business</w:t>
      </w:r>
      <w:r w:rsidRPr="00AC7E60">
        <w:rPr>
          <w:rFonts w:cs="Times New Roman"/>
          <w:sz w:val="20"/>
          <w:szCs w:val="20"/>
        </w:rPr>
        <w:t>, the Banja Luka Stock Exchange</w:t>
      </w:r>
      <w:r w:rsidR="00792167" w:rsidRPr="00AC7E60">
        <w:rPr>
          <w:rFonts w:cs="Times New Roman"/>
          <w:sz w:val="20"/>
          <w:szCs w:val="20"/>
        </w:rPr>
        <w:t xml:space="preserve"> market</w:t>
      </w:r>
      <w:r w:rsidRPr="00AC7E60">
        <w:rPr>
          <w:rFonts w:cs="Times New Roman"/>
          <w:sz w:val="20"/>
          <w:szCs w:val="20"/>
        </w:rPr>
        <w:t xml:space="preserve">, fees, </w:t>
      </w:r>
    </w:p>
    <w:p w:rsidR="006700C8" w:rsidRPr="00AC7E60" w:rsidRDefault="006700C8" w:rsidP="00044557">
      <w:pPr>
        <w:spacing w:after="0" w:line="240" w:lineRule="auto"/>
        <w:rPr>
          <w:rFonts w:cs="Times New Roman"/>
          <w:b/>
          <w:sz w:val="20"/>
          <w:szCs w:val="20"/>
        </w:rPr>
      </w:pPr>
    </w:p>
    <w:bookmarkEnd w:id="1"/>
    <w:p w:rsidR="003066D2" w:rsidRPr="00AC7E60" w:rsidRDefault="009764E8" w:rsidP="00044557">
      <w:pPr>
        <w:spacing w:after="0" w:line="240" w:lineRule="auto"/>
        <w:rPr>
          <w:rFonts w:eastAsiaTheme="majorEastAsia" w:cs="Times New Roman"/>
          <w:b/>
          <w:bCs/>
          <w:color w:val="000000" w:themeColor="text1"/>
          <w:sz w:val="20"/>
          <w:szCs w:val="20"/>
        </w:rPr>
      </w:pPr>
      <w:r w:rsidRPr="00AC7E60">
        <w:rPr>
          <w:rFonts w:eastAsiaTheme="majorEastAsia" w:cs="Times New Roman"/>
          <w:b/>
          <w:bCs/>
          <w:color w:val="000000" w:themeColor="text1"/>
          <w:sz w:val="20"/>
          <w:szCs w:val="20"/>
        </w:rPr>
        <w:t>1. I</w:t>
      </w:r>
      <w:r w:rsidR="00AE48AC" w:rsidRPr="00AC7E60">
        <w:rPr>
          <w:rFonts w:eastAsiaTheme="majorEastAsia" w:cs="Times New Roman"/>
          <w:b/>
          <w:bCs/>
          <w:color w:val="000000" w:themeColor="text1"/>
          <w:sz w:val="20"/>
          <w:szCs w:val="20"/>
        </w:rPr>
        <w:t>NTRODUCTION</w:t>
      </w:r>
    </w:p>
    <w:p w:rsidR="009764E8" w:rsidRPr="00AC7E60" w:rsidRDefault="009764E8" w:rsidP="00044557">
      <w:pPr>
        <w:spacing w:after="0" w:line="240" w:lineRule="auto"/>
        <w:rPr>
          <w:rFonts w:cs="Times New Roman"/>
          <w:color w:val="000000" w:themeColor="text1"/>
          <w:sz w:val="20"/>
          <w:szCs w:val="20"/>
          <w:lang w:val="bs-Cyrl-BA"/>
        </w:rPr>
      </w:pP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Transitional changes face us with the numerous and diverse, more or less the new </w:t>
      </w:r>
      <w:r w:rsidR="009764E8" w:rsidRPr="00AC7E60">
        <w:rPr>
          <w:rFonts w:cs="Times New Roman"/>
          <w:color w:val="000000" w:themeColor="text1"/>
          <w:sz w:val="20"/>
          <w:szCs w:val="20"/>
        </w:rPr>
        <w:t>phenomens</w:t>
      </w:r>
      <w:r w:rsidRPr="00AC7E60">
        <w:rPr>
          <w:rFonts w:cs="Times New Roman"/>
          <w:color w:val="000000" w:themeColor="text1"/>
          <w:sz w:val="20"/>
          <w:szCs w:val="20"/>
        </w:rPr>
        <w:t>. One of these phenomen</w:t>
      </w:r>
      <w:r w:rsidR="009764E8" w:rsidRPr="00AC7E60">
        <w:rPr>
          <w:rFonts w:cs="Times New Roman"/>
          <w:color w:val="000000" w:themeColor="text1"/>
          <w:sz w:val="20"/>
          <w:szCs w:val="20"/>
        </w:rPr>
        <w:t>s</w:t>
      </w:r>
      <w:r w:rsidR="00792167" w:rsidRPr="00AC7E60">
        <w:rPr>
          <w:rFonts w:cs="Times New Roman"/>
          <w:color w:val="000000" w:themeColor="text1"/>
          <w:sz w:val="20"/>
          <w:szCs w:val="20"/>
        </w:rPr>
        <w:t>is</w:t>
      </w:r>
      <w:r w:rsidRPr="00AC7E60">
        <w:rPr>
          <w:rFonts w:cs="Times New Roman"/>
          <w:color w:val="000000" w:themeColor="text1"/>
          <w:sz w:val="20"/>
          <w:szCs w:val="20"/>
        </w:rPr>
        <w:t xml:space="preserve"> stock exchange. Stock Exchange, before all financial stock exchange and </w:t>
      </w:r>
      <w:r w:rsidR="009764E8" w:rsidRPr="00AC7E60">
        <w:rPr>
          <w:rFonts w:cs="Times New Roman"/>
          <w:sz w:val="20"/>
          <w:szCs w:val="20"/>
        </w:rPr>
        <w:t>Stock market business</w:t>
      </w:r>
      <w:r w:rsidRPr="00AC7E60">
        <w:rPr>
          <w:rFonts w:cs="Times New Roman"/>
          <w:color w:val="000000" w:themeColor="text1"/>
          <w:sz w:val="20"/>
          <w:szCs w:val="20"/>
        </w:rPr>
        <w:t xml:space="preserve">for the majority of us are </w:t>
      </w:r>
      <w:r w:rsidR="00064272" w:rsidRPr="00AC7E60">
        <w:rPr>
          <w:rFonts w:cs="Times New Roman"/>
          <w:color w:val="000000" w:themeColor="text1"/>
          <w:sz w:val="20"/>
          <w:szCs w:val="20"/>
        </w:rPr>
        <w:t>newness</w:t>
      </w:r>
      <w:r w:rsidRPr="00AC7E60">
        <w:rPr>
          <w:rFonts w:cs="Times New Roman"/>
          <w:color w:val="000000" w:themeColor="text1"/>
          <w:sz w:val="20"/>
          <w:szCs w:val="20"/>
        </w:rPr>
        <w:t xml:space="preserve"> that enters in our lives and our business.</w:t>
      </w:r>
    </w:p>
    <w:p w:rsidR="003066D2" w:rsidRPr="00AC7E60" w:rsidRDefault="0006427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SinceStock Excange is</w:t>
      </w:r>
      <w:r w:rsidR="003066D2" w:rsidRPr="00AC7E60">
        <w:rPr>
          <w:rFonts w:cs="Times New Roman"/>
          <w:color w:val="000000" w:themeColor="text1"/>
          <w:sz w:val="20"/>
          <w:szCs w:val="20"/>
        </w:rPr>
        <w:t xml:space="preserve"> relatively new concept</w:t>
      </w:r>
      <w:r w:rsidRPr="00AC7E60">
        <w:rPr>
          <w:rFonts w:cs="Times New Roman"/>
          <w:color w:val="000000" w:themeColor="text1"/>
          <w:sz w:val="20"/>
          <w:szCs w:val="20"/>
        </w:rPr>
        <w:t xml:space="preserve"> in our area</w:t>
      </w:r>
      <w:r w:rsidR="003066D2" w:rsidRPr="00AC7E60">
        <w:rPr>
          <w:rFonts w:cs="Times New Roman"/>
          <w:color w:val="000000" w:themeColor="text1"/>
          <w:sz w:val="20"/>
          <w:szCs w:val="20"/>
        </w:rPr>
        <w:t xml:space="preserve">, their emergence </w:t>
      </w:r>
      <w:r w:rsidR="00B31D19" w:rsidRPr="00AC7E60">
        <w:rPr>
          <w:rFonts w:cs="Times New Roman"/>
          <w:color w:val="000000" w:themeColor="text1"/>
          <w:sz w:val="20"/>
          <w:szCs w:val="20"/>
        </w:rPr>
        <w:t>was</w:t>
      </w:r>
      <w:r w:rsidR="003066D2" w:rsidRPr="00AC7E60">
        <w:rPr>
          <w:rFonts w:cs="Times New Roman"/>
          <w:color w:val="000000" w:themeColor="text1"/>
          <w:sz w:val="20"/>
          <w:szCs w:val="20"/>
        </w:rPr>
        <w:t xml:space="preserve"> connected to the end of the civil war in America. </w:t>
      </w:r>
      <w:r w:rsidRPr="00AC7E60">
        <w:rPr>
          <w:rFonts w:cs="Times New Roman"/>
          <w:color w:val="000000" w:themeColor="text1"/>
          <w:sz w:val="20"/>
          <w:szCs w:val="20"/>
        </w:rPr>
        <w:t xml:space="preserve">People was saying  it was </w:t>
      </w:r>
      <w:r w:rsidR="003066D2" w:rsidRPr="00AC7E60">
        <w:rPr>
          <w:rFonts w:cs="Times New Roman"/>
          <w:color w:val="000000" w:themeColor="text1"/>
          <w:sz w:val="20"/>
          <w:szCs w:val="20"/>
        </w:rPr>
        <w:t xml:space="preserve">occurred </w:t>
      </w:r>
      <w:r w:rsidRPr="00AC7E60">
        <w:rPr>
          <w:rFonts w:cs="Times New Roman"/>
          <w:color w:val="000000" w:themeColor="text1"/>
          <w:sz w:val="20"/>
          <w:szCs w:val="20"/>
        </w:rPr>
        <w:t>spontaneous</w:t>
      </w:r>
      <w:r w:rsidR="003066D2" w:rsidRPr="00AC7E60">
        <w:rPr>
          <w:rFonts w:cs="Times New Roman"/>
          <w:color w:val="000000" w:themeColor="text1"/>
          <w:sz w:val="20"/>
          <w:szCs w:val="20"/>
        </w:rPr>
        <w:t xml:space="preserve">. </w:t>
      </w:r>
      <w:r w:rsidR="00B31D19" w:rsidRPr="00AC7E60">
        <w:rPr>
          <w:rFonts w:cs="Times New Roman"/>
          <w:color w:val="000000" w:themeColor="text1"/>
          <w:sz w:val="20"/>
          <w:szCs w:val="20"/>
        </w:rPr>
        <w:t>D</w:t>
      </w:r>
      <w:r w:rsidR="003066D2" w:rsidRPr="00AC7E60">
        <w:rPr>
          <w:rFonts w:cs="Times New Roman"/>
          <w:color w:val="000000" w:themeColor="text1"/>
          <w:sz w:val="20"/>
          <w:szCs w:val="20"/>
        </w:rPr>
        <w:t>uring the war</w:t>
      </w:r>
      <w:r w:rsidR="00B31D19" w:rsidRPr="00AC7E60">
        <w:rPr>
          <w:rFonts w:cs="Times New Roman"/>
          <w:color w:val="000000" w:themeColor="text1"/>
          <w:sz w:val="20"/>
          <w:szCs w:val="20"/>
        </w:rPr>
        <w:t xml:space="preserve"> in Bosnia and Herzegovina, there was</w:t>
      </w:r>
      <w:r w:rsidR="003066D2" w:rsidRPr="00AC7E60">
        <w:rPr>
          <w:rFonts w:cs="Times New Roman"/>
          <w:color w:val="000000" w:themeColor="text1"/>
          <w:sz w:val="20"/>
          <w:szCs w:val="20"/>
        </w:rPr>
        <w:t xml:space="preserve"> issued different securities with the aim of collecting funds for financing</w:t>
      </w:r>
      <w:r w:rsidR="00B31D19" w:rsidRPr="00AC7E60">
        <w:rPr>
          <w:rFonts w:cs="Times New Roman"/>
          <w:color w:val="000000" w:themeColor="text1"/>
          <w:sz w:val="20"/>
          <w:szCs w:val="20"/>
        </w:rPr>
        <w:t xml:space="preserve"> war</w:t>
      </w:r>
      <w:r w:rsidR="003066D2" w:rsidRPr="00AC7E60">
        <w:rPr>
          <w:rFonts w:cs="Times New Roman"/>
          <w:color w:val="000000" w:themeColor="text1"/>
          <w:sz w:val="20"/>
          <w:szCs w:val="20"/>
        </w:rPr>
        <w:t xml:space="preserve">. </w:t>
      </w:r>
      <w:r w:rsidR="00B31D19" w:rsidRPr="00AC7E60">
        <w:rPr>
          <w:rFonts w:cs="Times New Roman"/>
          <w:color w:val="000000" w:themeColor="text1"/>
          <w:sz w:val="20"/>
          <w:szCs w:val="20"/>
        </w:rPr>
        <w:t>Unregulated</w:t>
      </w:r>
      <w:r w:rsidR="003066D2" w:rsidRPr="00AC7E60">
        <w:rPr>
          <w:rFonts w:cs="Times New Roman"/>
          <w:color w:val="000000" w:themeColor="text1"/>
          <w:sz w:val="20"/>
          <w:szCs w:val="20"/>
        </w:rPr>
        <w:t xml:space="preserve"> trade </w:t>
      </w:r>
      <w:r w:rsidR="00B31D19" w:rsidRPr="00AC7E60">
        <w:rPr>
          <w:rFonts w:cs="Times New Roman"/>
          <w:color w:val="000000" w:themeColor="text1"/>
          <w:sz w:val="20"/>
          <w:szCs w:val="20"/>
        </w:rPr>
        <w:t>with</w:t>
      </w:r>
      <w:r w:rsidR="003066D2" w:rsidRPr="00AC7E60">
        <w:rPr>
          <w:rFonts w:cs="Times New Roman"/>
          <w:color w:val="000000" w:themeColor="text1"/>
          <w:sz w:val="20"/>
          <w:szCs w:val="20"/>
        </w:rPr>
        <w:t xml:space="preserve"> these securities created the problems of the participants in the trade. To avoid problems, traders agreed to be compiled </w:t>
      </w:r>
      <w:r w:rsidR="00B31D19" w:rsidRPr="00AC7E60">
        <w:rPr>
          <w:rFonts w:cs="Times New Roman"/>
          <w:color w:val="000000" w:themeColor="text1"/>
          <w:sz w:val="20"/>
          <w:szCs w:val="20"/>
        </w:rPr>
        <w:t xml:space="preserve">on a certain place and  </w:t>
      </w:r>
      <w:r w:rsidR="003066D2" w:rsidRPr="00AC7E60">
        <w:rPr>
          <w:rFonts w:cs="Times New Roman"/>
          <w:color w:val="000000" w:themeColor="text1"/>
          <w:sz w:val="20"/>
          <w:szCs w:val="20"/>
        </w:rPr>
        <w:t>in the correct scheduled time to marketed.</w:t>
      </w: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The key functions of the stock exchange is to ensure continuous market of securities at prices which do not deviate significantly from those for which they previously sold.</w:t>
      </w: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The existence of the stock exchange, respectively the stock trade in a market, indicates that the market </w:t>
      </w:r>
      <w:r w:rsidR="00B31D19" w:rsidRPr="00AC7E60">
        <w:rPr>
          <w:rFonts w:cs="Times New Roman"/>
          <w:color w:val="000000" w:themeColor="text1"/>
          <w:sz w:val="20"/>
          <w:szCs w:val="20"/>
        </w:rPr>
        <w:t>is</w:t>
      </w:r>
      <w:r w:rsidRPr="00AC7E60">
        <w:rPr>
          <w:rFonts w:cs="Times New Roman"/>
          <w:color w:val="000000" w:themeColor="text1"/>
          <w:sz w:val="20"/>
          <w:szCs w:val="20"/>
        </w:rPr>
        <w:t xml:space="preserve"> the safe and that it is not under the influence of the </w:t>
      </w:r>
      <w:r w:rsidR="00B31D19" w:rsidRPr="00AC7E60">
        <w:rPr>
          <w:rFonts w:cs="Times New Roman"/>
          <w:color w:val="000000" w:themeColor="text1"/>
          <w:sz w:val="20"/>
          <w:szCs w:val="20"/>
        </w:rPr>
        <w:t>external</w:t>
      </w:r>
      <w:r w:rsidRPr="00AC7E60">
        <w:rPr>
          <w:rFonts w:cs="Times New Roman"/>
          <w:color w:val="000000" w:themeColor="text1"/>
          <w:sz w:val="20"/>
          <w:szCs w:val="20"/>
        </w:rPr>
        <w:t xml:space="preserve"> risk in business. Strengthening the finances business points to the rise of security in a certain economy. </w:t>
      </w: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All </w:t>
      </w:r>
      <w:r w:rsidR="00B31D19" w:rsidRPr="00AC7E60">
        <w:rPr>
          <w:rFonts w:cs="Times New Roman"/>
          <w:color w:val="000000" w:themeColor="text1"/>
          <w:sz w:val="20"/>
          <w:szCs w:val="20"/>
        </w:rPr>
        <w:t>Stock market</w:t>
      </w:r>
      <w:r w:rsidRPr="00AC7E60">
        <w:rPr>
          <w:rFonts w:cs="Times New Roman"/>
          <w:color w:val="000000" w:themeColor="text1"/>
          <w:sz w:val="20"/>
          <w:szCs w:val="20"/>
        </w:rPr>
        <w:t xml:space="preserve"> crisis through history related or for the failure of the market effects, or for the breakdown in the money market, and the latest experience </w:t>
      </w:r>
      <w:r w:rsidR="009E201B" w:rsidRPr="00AC7E60">
        <w:rPr>
          <w:rFonts w:cs="Times New Roman"/>
          <w:color w:val="000000" w:themeColor="text1"/>
          <w:sz w:val="20"/>
          <w:szCs w:val="20"/>
        </w:rPr>
        <w:t xml:space="preserve">can </w:t>
      </w:r>
      <w:r w:rsidRPr="00AC7E60">
        <w:rPr>
          <w:rFonts w:cs="Times New Roman"/>
          <w:color w:val="000000" w:themeColor="text1"/>
          <w:sz w:val="20"/>
          <w:szCs w:val="20"/>
        </w:rPr>
        <w:t xml:space="preserve">show </w:t>
      </w:r>
      <w:r w:rsidR="009E201B" w:rsidRPr="00AC7E60">
        <w:rPr>
          <w:rFonts w:cs="Times New Roman"/>
          <w:color w:val="000000" w:themeColor="text1"/>
          <w:sz w:val="20"/>
          <w:szCs w:val="20"/>
        </w:rPr>
        <w:t xml:space="preserve">us </w:t>
      </w:r>
      <w:r w:rsidRPr="00AC7E60">
        <w:rPr>
          <w:rFonts w:cs="Times New Roman"/>
          <w:color w:val="000000" w:themeColor="text1"/>
          <w:sz w:val="20"/>
          <w:szCs w:val="20"/>
        </w:rPr>
        <w:t xml:space="preserve">that the crisis </w:t>
      </w:r>
      <w:r w:rsidR="009E201B" w:rsidRPr="00AC7E60">
        <w:rPr>
          <w:rFonts w:cs="Times New Roman"/>
          <w:color w:val="000000" w:themeColor="text1"/>
          <w:sz w:val="20"/>
          <w:szCs w:val="20"/>
        </w:rPr>
        <w:t xml:space="preserve">mortgage market </w:t>
      </w:r>
      <w:r w:rsidRPr="00AC7E60">
        <w:rPr>
          <w:rFonts w:cs="Times New Roman"/>
          <w:color w:val="000000" w:themeColor="text1"/>
          <w:sz w:val="20"/>
          <w:szCs w:val="20"/>
        </w:rPr>
        <w:t>may cause the crisis of world proportions. Because of all</w:t>
      </w:r>
      <w:r w:rsidR="009E201B" w:rsidRPr="00AC7E60">
        <w:rPr>
          <w:rFonts w:cs="Times New Roman"/>
          <w:color w:val="000000" w:themeColor="text1"/>
          <w:sz w:val="20"/>
          <w:szCs w:val="20"/>
        </w:rPr>
        <w:t xml:space="preserve"> of</w:t>
      </w:r>
      <w:r w:rsidRPr="00AC7E60">
        <w:rPr>
          <w:rFonts w:cs="Times New Roman"/>
          <w:color w:val="000000" w:themeColor="text1"/>
          <w:sz w:val="20"/>
          <w:szCs w:val="20"/>
        </w:rPr>
        <w:t xml:space="preserve"> this stock exchange are a serious topic on which we will consider the facts through this work.</w:t>
      </w:r>
    </w:p>
    <w:p w:rsidR="000F2AF0" w:rsidRPr="00AC7E60" w:rsidRDefault="000F2AF0" w:rsidP="00044557">
      <w:pPr>
        <w:spacing w:after="0" w:line="240" w:lineRule="auto"/>
        <w:rPr>
          <w:rFonts w:cs="Times New Roman"/>
          <w:sz w:val="20"/>
          <w:szCs w:val="20"/>
          <w:lang w:val="bs-Cyrl-BA"/>
        </w:rPr>
      </w:pPr>
    </w:p>
    <w:p w:rsidR="003066D2" w:rsidRPr="00AC7E60" w:rsidRDefault="003D4F8E" w:rsidP="00044557">
      <w:pPr>
        <w:pStyle w:val="Heading1"/>
        <w:spacing w:before="0" w:line="240" w:lineRule="auto"/>
        <w:jc w:val="both"/>
        <w:rPr>
          <w:rFonts w:cs="Times New Roman"/>
          <w:sz w:val="20"/>
          <w:szCs w:val="20"/>
        </w:rPr>
      </w:pPr>
      <w:bookmarkStart w:id="2" w:name="_Toc465805952"/>
      <w:bookmarkStart w:id="3" w:name="_Toc477017176"/>
      <w:r w:rsidRPr="00AC7E60">
        <w:rPr>
          <w:rFonts w:cs="Times New Roman"/>
          <w:sz w:val="20"/>
          <w:szCs w:val="20"/>
        </w:rPr>
        <w:t>2.</w:t>
      </w:r>
      <w:bookmarkEnd w:id="2"/>
      <w:r w:rsidRPr="00AC7E60">
        <w:rPr>
          <w:rFonts w:cs="Times New Roman"/>
          <w:sz w:val="20"/>
          <w:szCs w:val="20"/>
        </w:rPr>
        <w:t>T</w:t>
      </w:r>
      <w:r w:rsidR="00AE48AC" w:rsidRPr="00AC7E60">
        <w:rPr>
          <w:rFonts w:cs="Times New Roman"/>
          <w:sz w:val="20"/>
          <w:szCs w:val="20"/>
        </w:rPr>
        <w:t>HE</w:t>
      </w:r>
      <w:r w:rsidRPr="00AC7E60">
        <w:rPr>
          <w:rFonts w:cs="Times New Roman"/>
          <w:sz w:val="20"/>
          <w:szCs w:val="20"/>
        </w:rPr>
        <w:t xml:space="preserve"> NOTION OF STOCK EXCHANGE AND ITS FUNCTIONS</w:t>
      </w:r>
      <w:bookmarkEnd w:id="3"/>
    </w:p>
    <w:p w:rsidR="003066D2" w:rsidRPr="00AC7E60" w:rsidRDefault="003066D2" w:rsidP="00044557">
      <w:pPr>
        <w:spacing w:after="0" w:line="240" w:lineRule="auto"/>
        <w:rPr>
          <w:rFonts w:cs="Times New Roman"/>
          <w:color w:val="000000" w:themeColor="text1"/>
          <w:sz w:val="20"/>
          <w:szCs w:val="20"/>
        </w:rPr>
      </w:pP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There is more definition of the term stock exchange. Stock Exchange, often, defined as a space in which </w:t>
      </w:r>
      <w:r w:rsidR="009E201B" w:rsidRPr="00AC7E60">
        <w:rPr>
          <w:rFonts w:cs="Times New Roman"/>
          <w:color w:val="000000" w:themeColor="text1"/>
          <w:sz w:val="20"/>
          <w:szCs w:val="20"/>
        </w:rPr>
        <w:t>we can trade with</w:t>
      </w:r>
      <w:r w:rsidRPr="00AC7E60">
        <w:rPr>
          <w:rFonts w:cs="Times New Roman"/>
          <w:color w:val="000000" w:themeColor="text1"/>
          <w:sz w:val="20"/>
          <w:szCs w:val="20"/>
        </w:rPr>
        <w:t xml:space="preserve"> long-term financial instruments. It is organized as secondary market securities from the value of the (SECURITIES) with a completely precise and strictly defined by the rules of the trading, rules of the receipt of the market of the material on the stock exchange and completely precise criteria which define the conditions and the way for EU membership on the stock exchange [1]. The stock exchange is institutions of the financial market related to the correct place on which the trades standardized market material, according to the defined </w:t>
      </w:r>
      <w:r w:rsidR="009E201B" w:rsidRPr="00AC7E60">
        <w:rPr>
          <w:rFonts w:cs="Times New Roman"/>
          <w:color w:val="000000" w:themeColor="text1"/>
          <w:sz w:val="20"/>
          <w:szCs w:val="20"/>
        </w:rPr>
        <w:t xml:space="preserve">with rules of </w:t>
      </w:r>
      <w:r w:rsidRPr="00AC7E60">
        <w:rPr>
          <w:rFonts w:cs="Times New Roman"/>
          <w:color w:val="000000" w:themeColor="text1"/>
          <w:sz w:val="20"/>
          <w:szCs w:val="20"/>
        </w:rPr>
        <w:t xml:space="preserve"> trading.</w:t>
      </w:r>
    </w:p>
    <w:p w:rsidR="003066D2" w:rsidRPr="00AC7E60" w:rsidRDefault="009E201B" w:rsidP="00044557">
      <w:pPr>
        <w:spacing w:after="0" w:line="240" w:lineRule="auto"/>
        <w:rPr>
          <w:rFonts w:cs="Times New Roman"/>
          <w:color w:val="000000" w:themeColor="text1"/>
          <w:sz w:val="20"/>
          <w:szCs w:val="20"/>
        </w:rPr>
      </w:pPr>
      <w:r w:rsidRPr="00EA4727">
        <w:rPr>
          <w:rFonts w:cs="Times New Roman"/>
          <w:color w:val="000000" w:themeColor="text1"/>
          <w:spacing w:val="-6"/>
          <w:sz w:val="20"/>
          <w:szCs w:val="20"/>
        </w:rPr>
        <w:t>From the beginning</w:t>
      </w:r>
      <w:r w:rsidR="003066D2" w:rsidRPr="00EA4727">
        <w:rPr>
          <w:rFonts w:cs="Times New Roman"/>
          <w:color w:val="000000" w:themeColor="text1"/>
          <w:spacing w:val="-6"/>
          <w:sz w:val="20"/>
          <w:szCs w:val="20"/>
        </w:rPr>
        <w:t xml:space="preserve">, the stock exchange </w:t>
      </w:r>
      <w:r w:rsidR="00D327CE" w:rsidRPr="00EA4727">
        <w:rPr>
          <w:rFonts w:cs="Times New Roman"/>
          <w:color w:val="000000" w:themeColor="text1"/>
          <w:spacing w:val="-6"/>
          <w:sz w:val="20"/>
          <w:szCs w:val="20"/>
        </w:rPr>
        <w:t>was in connectionwith</w:t>
      </w:r>
      <w:r w:rsidR="003066D2" w:rsidRPr="00EA4727">
        <w:rPr>
          <w:rFonts w:cs="Times New Roman"/>
          <w:color w:val="000000" w:themeColor="text1"/>
          <w:spacing w:val="-6"/>
          <w:sz w:val="20"/>
          <w:szCs w:val="20"/>
        </w:rPr>
        <w:t xml:space="preserve"> a specific place - </w:t>
      </w:r>
      <w:r w:rsidR="00D327CE" w:rsidRPr="00EA4727">
        <w:rPr>
          <w:rFonts w:cs="Times New Roman"/>
          <w:color w:val="000000" w:themeColor="text1"/>
          <w:spacing w:val="-6"/>
          <w:sz w:val="20"/>
          <w:szCs w:val="20"/>
        </w:rPr>
        <w:t>meeting place of</w:t>
      </w:r>
      <w:r w:rsidR="003066D2" w:rsidRPr="00EA4727">
        <w:rPr>
          <w:rFonts w:cs="Times New Roman"/>
          <w:color w:val="000000" w:themeColor="text1"/>
          <w:spacing w:val="-6"/>
          <w:sz w:val="20"/>
          <w:szCs w:val="20"/>
        </w:rPr>
        <w:t xml:space="preserve"> traders/mediators</w:t>
      </w:r>
      <w:r w:rsidR="003066D2" w:rsidRPr="00AC7E60">
        <w:rPr>
          <w:rFonts w:cs="Times New Roman"/>
          <w:color w:val="000000" w:themeColor="text1"/>
          <w:sz w:val="20"/>
          <w:szCs w:val="20"/>
        </w:rPr>
        <w:t>, who are among themselves in within a certain period of time and according to the rules that are found. In the markets</w:t>
      </w:r>
      <w:r w:rsidR="00042E23" w:rsidRPr="00AC7E60">
        <w:rPr>
          <w:rFonts w:cs="Times New Roman"/>
          <w:color w:val="000000" w:themeColor="text1"/>
          <w:sz w:val="20"/>
          <w:szCs w:val="20"/>
        </w:rPr>
        <w:t>it is possible to  trade with effects and goods</w:t>
      </w:r>
      <w:r w:rsidR="003066D2" w:rsidRPr="00AC7E60">
        <w:rPr>
          <w:rFonts w:cs="Times New Roman"/>
          <w:color w:val="000000" w:themeColor="text1"/>
          <w:sz w:val="20"/>
          <w:szCs w:val="20"/>
        </w:rPr>
        <w:t>, and according to the case of the stock exchange</w:t>
      </w:r>
      <w:r w:rsidR="00042E23" w:rsidRPr="00AC7E60">
        <w:rPr>
          <w:rFonts w:cs="Times New Roman"/>
          <w:color w:val="000000" w:themeColor="text1"/>
          <w:sz w:val="20"/>
          <w:szCs w:val="20"/>
        </w:rPr>
        <w:t>, stock exchange</w:t>
      </w:r>
      <w:r w:rsidR="003066D2" w:rsidRPr="00AC7E60">
        <w:rPr>
          <w:rFonts w:cs="Times New Roman"/>
          <w:color w:val="000000" w:themeColor="text1"/>
          <w:sz w:val="20"/>
          <w:szCs w:val="20"/>
        </w:rPr>
        <w:t xml:space="preserve"> are divided in effective, store and mixed. </w:t>
      </w:r>
      <w:r w:rsidR="00042E23" w:rsidRPr="00AC7E60">
        <w:rPr>
          <w:rFonts w:cs="Times New Roman"/>
          <w:color w:val="000000" w:themeColor="text1"/>
          <w:sz w:val="20"/>
          <w:szCs w:val="20"/>
        </w:rPr>
        <w:t xml:space="preserve"> On t</w:t>
      </w:r>
      <w:r w:rsidR="003066D2" w:rsidRPr="00AC7E60">
        <w:rPr>
          <w:rFonts w:cs="Times New Roman"/>
          <w:color w:val="000000" w:themeColor="text1"/>
          <w:sz w:val="20"/>
          <w:szCs w:val="20"/>
        </w:rPr>
        <w:t>he first</w:t>
      </w:r>
      <w:r w:rsidR="00042E23" w:rsidRPr="00AC7E60">
        <w:rPr>
          <w:rFonts w:cs="Times New Roman"/>
          <w:color w:val="000000" w:themeColor="text1"/>
          <w:sz w:val="20"/>
          <w:szCs w:val="20"/>
        </w:rPr>
        <w:t xml:space="preserve"> marketit is possible to </w:t>
      </w:r>
      <w:r w:rsidR="003066D2" w:rsidRPr="00AC7E60">
        <w:rPr>
          <w:rFonts w:cs="Times New Roman"/>
          <w:color w:val="000000" w:themeColor="text1"/>
          <w:sz w:val="20"/>
          <w:szCs w:val="20"/>
        </w:rPr>
        <w:t xml:space="preserve"> trade</w:t>
      </w:r>
      <w:r w:rsidR="00042E23" w:rsidRPr="00AC7E60">
        <w:rPr>
          <w:rFonts w:cs="Times New Roman"/>
          <w:color w:val="000000" w:themeColor="text1"/>
          <w:sz w:val="20"/>
          <w:szCs w:val="20"/>
        </w:rPr>
        <w:t xml:space="preserve"> with </w:t>
      </w:r>
      <w:r w:rsidR="003066D2" w:rsidRPr="00AC7E60">
        <w:rPr>
          <w:rFonts w:cs="Times New Roman"/>
          <w:color w:val="000000" w:themeColor="text1"/>
          <w:sz w:val="20"/>
          <w:szCs w:val="20"/>
        </w:rPr>
        <w:t xml:space="preserve"> securities, foreign exchange information and financial products</w:t>
      </w:r>
      <w:r w:rsidR="00042E23" w:rsidRPr="00AC7E60">
        <w:rPr>
          <w:rFonts w:cs="Times New Roman"/>
          <w:color w:val="000000" w:themeColor="text1"/>
          <w:sz w:val="20"/>
          <w:szCs w:val="20"/>
        </w:rPr>
        <w:t xml:space="preserve">, on the second market with </w:t>
      </w:r>
      <w:r w:rsidR="003066D2" w:rsidRPr="00AC7E60">
        <w:rPr>
          <w:rFonts w:cs="Times New Roman"/>
          <w:color w:val="000000" w:themeColor="text1"/>
          <w:sz w:val="20"/>
          <w:szCs w:val="20"/>
        </w:rPr>
        <w:t xml:space="preserve">goods, and </w:t>
      </w:r>
      <w:r w:rsidR="00042E23" w:rsidRPr="00AC7E60">
        <w:rPr>
          <w:rFonts w:cs="Times New Roman"/>
          <w:color w:val="000000" w:themeColor="text1"/>
          <w:sz w:val="20"/>
          <w:szCs w:val="20"/>
        </w:rPr>
        <w:t>on</w:t>
      </w:r>
      <w:r w:rsidR="003066D2" w:rsidRPr="00AC7E60">
        <w:rPr>
          <w:rFonts w:cs="Times New Roman"/>
          <w:color w:val="000000" w:themeColor="text1"/>
          <w:sz w:val="20"/>
          <w:szCs w:val="20"/>
        </w:rPr>
        <w:t xml:space="preserve"> the third </w:t>
      </w:r>
      <w:r w:rsidR="00042E23" w:rsidRPr="00AC7E60">
        <w:rPr>
          <w:rFonts w:cs="Times New Roman"/>
          <w:color w:val="000000" w:themeColor="text1"/>
          <w:sz w:val="20"/>
          <w:szCs w:val="20"/>
        </w:rPr>
        <w:t>with</w:t>
      </w:r>
      <w:r w:rsidR="003066D2" w:rsidRPr="00AC7E60">
        <w:rPr>
          <w:rFonts w:cs="Times New Roman"/>
          <w:color w:val="000000" w:themeColor="text1"/>
          <w:sz w:val="20"/>
          <w:szCs w:val="20"/>
        </w:rPr>
        <w:t xml:space="preserve"> one and other. </w:t>
      </w: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The subject of the trading on the stock market must be standardised. </w:t>
      </w:r>
      <w:r w:rsidR="00DC538F" w:rsidRPr="00AC7E60">
        <w:rPr>
          <w:rFonts w:cs="Times New Roman"/>
          <w:color w:val="000000" w:themeColor="text1"/>
          <w:sz w:val="20"/>
          <w:szCs w:val="20"/>
        </w:rPr>
        <w:t>Another feature of the stock market is the absence of a trading item from the place where it is trading</w:t>
      </w:r>
      <w:r w:rsidRPr="00AC7E60">
        <w:rPr>
          <w:rFonts w:cs="Times New Roman"/>
          <w:color w:val="000000" w:themeColor="text1"/>
          <w:sz w:val="20"/>
          <w:szCs w:val="20"/>
        </w:rPr>
        <w:t xml:space="preserve">. The rules of the trading on the stock exchange have a dual function - </w:t>
      </w:r>
      <w:r w:rsidR="00DC538F" w:rsidRPr="00AC7E60">
        <w:rPr>
          <w:rFonts w:cs="Times New Roman"/>
          <w:color w:val="000000" w:themeColor="text1"/>
          <w:sz w:val="20"/>
          <w:szCs w:val="20"/>
        </w:rPr>
        <w:t xml:space="preserve">The rules of trading on the stock exchange have a dual function - to provide for an ever more detailed standardization of the subjects and rules of trade for which the turnover is carried out, as well as to provide </w:t>
      </w:r>
      <w:r w:rsidR="00DC538F" w:rsidRPr="00AC7E60">
        <w:rPr>
          <w:rFonts w:cs="Times New Roman"/>
          <w:color w:val="000000" w:themeColor="text1"/>
          <w:sz w:val="20"/>
          <w:szCs w:val="20"/>
        </w:rPr>
        <w:lastRenderedPageBreak/>
        <w:t>protection to participants in trading</w:t>
      </w:r>
      <w:r w:rsidRPr="00AC7E60">
        <w:rPr>
          <w:rFonts w:cs="Times New Roman"/>
          <w:color w:val="000000" w:themeColor="text1"/>
          <w:sz w:val="20"/>
          <w:szCs w:val="20"/>
        </w:rPr>
        <w:t xml:space="preserve">. </w:t>
      </w:r>
      <w:r w:rsidR="00DC538F" w:rsidRPr="00AC7E60">
        <w:rPr>
          <w:rFonts w:cs="Times New Roman"/>
          <w:color w:val="000000" w:themeColor="text1"/>
          <w:sz w:val="20"/>
          <w:szCs w:val="20"/>
        </w:rPr>
        <w:t xml:space="preserve">Protection from market risks is the main reason for the establishment of a stock exchange institution, so the organization of trade in it is subordinated to it </w:t>
      </w:r>
      <w:r w:rsidRPr="00AC7E60">
        <w:rPr>
          <w:rFonts w:cs="Times New Roman"/>
          <w:color w:val="000000" w:themeColor="text1"/>
          <w:sz w:val="20"/>
          <w:szCs w:val="20"/>
        </w:rPr>
        <w:t>[2].</w:t>
      </w:r>
    </w:p>
    <w:p w:rsidR="003066D2" w:rsidRPr="00AC7E60" w:rsidRDefault="00DC538F"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The stock exchange can not trade itself, but it provides the conditions for others to trade in quality and safe.</w:t>
      </w:r>
      <w:r w:rsidR="003066D2" w:rsidRPr="00AC7E60">
        <w:rPr>
          <w:rFonts w:cs="Times New Roman"/>
          <w:color w:val="000000" w:themeColor="text1"/>
          <w:sz w:val="20"/>
          <w:szCs w:val="20"/>
        </w:rPr>
        <w:t xml:space="preserve">. </w:t>
      </w:r>
      <w:r w:rsidRPr="00AC7E60">
        <w:rPr>
          <w:rFonts w:cs="Times New Roman"/>
          <w:color w:val="000000" w:themeColor="text1"/>
          <w:sz w:val="20"/>
          <w:szCs w:val="20"/>
        </w:rPr>
        <w:t>Considering the specificity of the organization and the way of doing business on the stock exchange, the stock market as an inseparable part of the market and the market economy in general is an extremely important segment, from whose business and success depends the performance of other markets, that is, the market economy of a given country and the world economy as a whole</w:t>
      </w:r>
      <w:r w:rsidR="003066D2" w:rsidRPr="00AC7E60">
        <w:rPr>
          <w:rFonts w:cs="Times New Roman"/>
          <w:color w:val="000000" w:themeColor="text1"/>
          <w:sz w:val="20"/>
          <w:szCs w:val="20"/>
        </w:rPr>
        <w:t xml:space="preserve">. Because </w:t>
      </w:r>
      <w:r w:rsidRPr="00AC7E60">
        <w:rPr>
          <w:rFonts w:cs="Times New Roman"/>
          <w:color w:val="000000" w:themeColor="text1"/>
          <w:sz w:val="20"/>
          <w:szCs w:val="20"/>
        </w:rPr>
        <w:t>of that</w:t>
      </w:r>
      <w:r w:rsidR="003066D2" w:rsidRPr="00AC7E60">
        <w:rPr>
          <w:rFonts w:cs="Times New Roman"/>
          <w:color w:val="000000" w:themeColor="text1"/>
          <w:sz w:val="20"/>
          <w:szCs w:val="20"/>
        </w:rPr>
        <w:t xml:space="preserve"> stock exchange </w:t>
      </w:r>
      <w:r w:rsidR="000B09B0" w:rsidRPr="00AC7E60">
        <w:rPr>
          <w:rFonts w:cs="Times New Roman"/>
          <w:color w:val="000000" w:themeColor="text1"/>
          <w:sz w:val="20"/>
          <w:szCs w:val="20"/>
        </w:rPr>
        <w:t>is</w:t>
      </w:r>
      <w:r w:rsidR="003066D2" w:rsidRPr="00AC7E60">
        <w:rPr>
          <w:rFonts w:cs="Times New Roman"/>
          <w:color w:val="000000" w:themeColor="text1"/>
          <w:sz w:val="20"/>
          <w:szCs w:val="20"/>
        </w:rPr>
        <w:t xml:space="preserve"> considered most important market institution [3].</w:t>
      </w: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The basic functions that each stock exchange has to ensure </w:t>
      </w:r>
      <w:r w:rsidR="000B09B0" w:rsidRPr="00AC7E60">
        <w:rPr>
          <w:rFonts w:cs="Times New Roman"/>
          <w:color w:val="000000" w:themeColor="text1"/>
          <w:sz w:val="20"/>
          <w:szCs w:val="20"/>
        </w:rPr>
        <w:t xml:space="preserve">to </w:t>
      </w:r>
      <w:r w:rsidRPr="00AC7E60">
        <w:rPr>
          <w:rFonts w:cs="Times New Roman"/>
          <w:color w:val="000000" w:themeColor="text1"/>
          <w:sz w:val="20"/>
          <w:szCs w:val="20"/>
        </w:rPr>
        <w:t>the market are:</w:t>
      </w:r>
    </w:p>
    <w:p w:rsidR="003066D2" w:rsidRPr="00AC7E60" w:rsidRDefault="000B09B0" w:rsidP="00044557">
      <w:pPr>
        <w:pStyle w:val="ListParagraph"/>
        <w:numPr>
          <w:ilvl w:val="0"/>
          <w:numId w:val="2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Information of all market participants on securities to be traded on stock exchanges before commencement of trading (prospectus) and after  trading (exchange rate list).</w:t>
      </w:r>
    </w:p>
    <w:p w:rsidR="003066D2" w:rsidRPr="00AC7E60" w:rsidRDefault="003066D2" w:rsidP="00044557">
      <w:pPr>
        <w:pStyle w:val="ListParagraph"/>
        <w:numPr>
          <w:ilvl w:val="0"/>
          <w:numId w:val="2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 xml:space="preserve">Listing- </w:t>
      </w:r>
      <w:r w:rsidR="000B09B0" w:rsidRPr="00AC7E60">
        <w:rPr>
          <w:rFonts w:cs="Times New Roman"/>
          <w:color w:val="000000" w:themeColor="text1"/>
          <w:sz w:val="20"/>
          <w:szCs w:val="20"/>
        </w:rPr>
        <w:t>ensure that the issuer meets the prescribed conditions by the stock exchange.</w:t>
      </w:r>
    </w:p>
    <w:p w:rsidR="003066D2" w:rsidRPr="00AC7E60" w:rsidRDefault="000B09B0" w:rsidP="00044557">
      <w:pPr>
        <w:pStyle w:val="ListParagraph"/>
        <w:numPr>
          <w:ilvl w:val="0"/>
          <w:numId w:val="2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Trading, as a process of determining the price on the market by facing the supply and demand according to the  rules of trading and in the trading system of the stock exchange</w:t>
      </w:r>
      <w:r w:rsidR="003066D2" w:rsidRPr="00AC7E60">
        <w:rPr>
          <w:rFonts w:cs="Times New Roman"/>
          <w:color w:val="000000" w:themeColor="text1"/>
          <w:sz w:val="20"/>
          <w:szCs w:val="20"/>
        </w:rPr>
        <w:t>.</w:t>
      </w:r>
    </w:p>
    <w:p w:rsidR="003066D2" w:rsidRPr="00AC7E60" w:rsidRDefault="000B09B0" w:rsidP="00044557">
      <w:pPr>
        <w:pStyle w:val="ListParagraph"/>
        <w:numPr>
          <w:ilvl w:val="0"/>
          <w:numId w:val="2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 xml:space="preserve">Reporting after completion of the trading process about the price, volume of trading and about other elements from the trading process </w:t>
      </w:r>
      <w:r w:rsidR="003066D2" w:rsidRPr="00AC7E60">
        <w:rPr>
          <w:rFonts w:cs="Times New Roman"/>
          <w:color w:val="000000" w:themeColor="text1"/>
          <w:sz w:val="20"/>
          <w:szCs w:val="20"/>
        </w:rPr>
        <w:t>[4].</w:t>
      </w:r>
    </w:p>
    <w:p w:rsidR="0099603D" w:rsidRPr="00AC7E60" w:rsidRDefault="0099603D" w:rsidP="00044557">
      <w:pPr>
        <w:spacing w:after="0" w:line="240" w:lineRule="auto"/>
        <w:rPr>
          <w:rFonts w:cs="Times New Roman"/>
          <w:sz w:val="20"/>
          <w:szCs w:val="20"/>
        </w:rPr>
      </w:pPr>
    </w:p>
    <w:p w:rsidR="003066D2" w:rsidRPr="00AC7E60" w:rsidRDefault="00776301" w:rsidP="00044557">
      <w:pPr>
        <w:pStyle w:val="Heading1"/>
        <w:spacing w:before="0" w:line="240" w:lineRule="auto"/>
        <w:jc w:val="both"/>
        <w:rPr>
          <w:rFonts w:cs="Times New Roman"/>
          <w:sz w:val="20"/>
          <w:szCs w:val="20"/>
        </w:rPr>
      </w:pPr>
      <w:bookmarkStart w:id="4" w:name="_Toc477017177"/>
      <w:r w:rsidRPr="00AC7E60">
        <w:rPr>
          <w:rFonts w:cs="Times New Roman"/>
          <w:sz w:val="20"/>
          <w:szCs w:val="20"/>
        </w:rPr>
        <w:t>3.</w:t>
      </w:r>
      <w:bookmarkEnd w:id="0"/>
      <w:r w:rsidRPr="00AC7E60">
        <w:rPr>
          <w:rFonts w:cs="Times New Roman"/>
          <w:sz w:val="20"/>
          <w:szCs w:val="20"/>
        </w:rPr>
        <w:t>T</w:t>
      </w:r>
      <w:r w:rsidR="00AE48AC" w:rsidRPr="00AC7E60">
        <w:rPr>
          <w:rFonts w:cs="Times New Roman"/>
          <w:sz w:val="20"/>
          <w:szCs w:val="20"/>
        </w:rPr>
        <w:t>HE</w:t>
      </w:r>
      <w:r w:rsidRPr="00AC7E60">
        <w:rPr>
          <w:rFonts w:cs="Times New Roman"/>
          <w:sz w:val="20"/>
          <w:szCs w:val="20"/>
        </w:rPr>
        <w:t xml:space="preserve"> BANJA LUKA STOCK EXCHANGE</w:t>
      </w:r>
      <w:bookmarkEnd w:id="4"/>
    </w:p>
    <w:p w:rsidR="003066D2" w:rsidRPr="00AC7E60" w:rsidRDefault="003066D2" w:rsidP="00044557">
      <w:pPr>
        <w:spacing w:after="0" w:line="240" w:lineRule="auto"/>
        <w:rPr>
          <w:rFonts w:cs="Times New Roman"/>
          <w:color w:val="000000" w:themeColor="text1"/>
          <w:sz w:val="20"/>
          <w:szCs w:val="20"/>
          <w:lang w:val="bs-Cyrl-BA"/>
        </w:rPr>
      </w:pP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The Banja Luka stock exchange of securities a.d. </w:t>
      </w:r>
      <w:r w:rsidR="00AF5800" w:rsidRPr="00AC7E60">
        <w:rPr>
          <w:rFonts w:cs="Times New Roman"/>
          <w:color w:val="000000" w:themeColor="text1"/>
          <w:sz w:val="20"/>
          <w:szCs w:val="20"/>
        </w:rPr>
        <w:t>Banja Luka was established on May 9,</w:t>
      </w:r>
      <w:r w:rsidRPr="00AC7E60">
        <w:rPr>
          <w:rFonts w:cs="Times New Roman"/>
          <w:color w:val="000000" w:themeColor="text1"/>
          <w:sz w:val="20"/>
          <w:szCs w:val="20"/>
        </w:rPr>
        <w:t xml:space="preserve">2001 in Banja Luka. </w:t>
      </w:r>
      <w:r w:rsidR="00AF5800" w:rsidRPr="00AC7E60">
        <w:rPr>
          <w:rFonts w:cs="Times New Roman"/>
          <w:color w:val="000000" w:themeColor="text1"/>
          <w:sz w:val="20"/>
          <w:szCs w:val="20"/>
        </w:rPr>
        <w:t xml:space="preserve">It is made of  </w:t>
      </w:r>
      <w:r w:rsidRPr="00AC7E60">
        <w:rPr>
          <w:rFonts w:cs="Times New Roman"/>
          <w:color w:val="000000" w:themeColor="text1"/>
          <w:sz w:val="20"/>
          <w:szCs w:val="20"/>
        </w:rPr>
        <w:t xml:space="preserve">the 11 shareholders, and the largest participation </w:t>
      </w:r>
      <w:r w:rsidR="00AF5800" w:rsidRPr="00AC7E60">
        <w:rPr>
          <w:rFonts w:cs="Times New Roman"/>
          <w:color w:val="000000" w:themeColor="text1"/>
          <w:sz w:val="20"/>
          <w:szCs w:val="20"/>
        </w:rPr>
        <w:t xml:space="preserve">–has the </w:t>
      </w:r>
      <w:r w:rsidRPr="00AC7E60">
        <w:rPr>
          <w:rFonts w:cs="Times New Roman"/>
          <w:color w:val="000000" w:themeColor="text1"/>
          <w:sz w:val="20"/>
          <w:szCs w:val="20"/>
        </w:rPr>
        <w:t xml:space="preserve"> NLB bank a.d. Banja Luka with 503 action</w:t>
      </w:r>
      <w:r w:rsidR="00AF5800" w:rsidRPr="00AC7E60">
        <w:rPr>
          <w:rFonts w:cs="Times New Roman"/>
          <w:color w:val="000000" w:themeColor="text1"/>
          <w:sz w:val="20"/>
          <w:szCs w:val="20"/>
        </w:rPr>
        <w:t>s</w:t>
      </w:r>
      <w:r w:rsidRPr="00AC7E60">
        <w:rPr>
          <w:rFonts w:cs="Times New Roman"/>
          <w:color w:val="000000" w:themeColor="text1"/>
          <w:sz w:val="20"/>
          <w:szCs w:val="20"/>
        </w:rPr>
        <w:t xml:space="preserve">. Stock Exchange has its Managing board, supervisory board, Commission for </w:t>
      </w:r>
      <w:r w:rsidR="00AF5800" w:rsidRPr="00AC7E60">
        <w:rPr>
          <w:rFonts w:cs="Times New Roman"/>
          <w:color w:val="000000" w:themeColor="text1"/>
          <w:sz w:val="20"/>
          <w:szCs w:val="20"/>
        </w:rPr>
        <w:t>quotation</w:t>
      </w:r>
      <w:r w:rsidRPr="00AC7E60">
        <w:rPr>
          <w:rFonts w:cs="Times New Roman"/>
          <w:color w:val="000000" w:themeColor="text1"/>
          <w:sz w:val="20"/>
          <w:szCs w:val="20"/>
        </w:rPr>
        <w:t xml:space="preserve"> and </w:t>
      </w:r>
      <w:r w:rsidR="00AF5800" w:rsidRPr="00AC7E60">
        <w:rPr>
          <w:rFonts w:cs="Times New Roman"/>
          <w:color w:val="000000" w:themeColor="text1"/>
          <w:sz w:val="20"/>
          <w:szCs w:val="20"/>
        </w:rPr>
        <w:t>the Berza</w:t>
      </w:r>
      <w:r w:rsidRPr="00AC7E60">
        <w:rPr>
          <w:rFonts w:cs="Times New Roman"/>
          <w:color w:val="000000" w:themeColor="text1"/>
          <w:sz w:val="20"/>
          <w:szCs w:val="20"/>
        </w:rPr>
        <w:t xml:space="preserve"> court.</w:t>
      </w:r>
    </w:p>
    <w:p w:rsidR="003066D2" w:rsidRPr="00AC7E60" w:rsidRDefault="003066D2" w:rsidP="00044557">
      <w:pPr>
        <w:spacing w:after="0" w:line="240" w:lineRule="auto"/>
        <w:rPr>
          <w:rFonts w:cs="Times New Roman"/>
          <w:color w:val="000000" w:themeColor="text1"/>
          <w:sz w:val="20"/>
          <w:szCs w:val="20"/>
        </w:rPr>
      </w:pPr>
      <w:r w:rsidRPr="00AC7E60">
        <w:rPr>
          <w:rFonts w:cs="Times New Roman"/>
          <w:i/>
          <w:color w:val="000000" w:themeColor="text1"/>
          <w:sz w:val="20"/>
          <w:szCs w:val="20"/>
        </w:rPr>
        <w:t>The mission of the</w:t>
      </w:r>
      <w:r w:rsidRPr="00AC7E60">
        <w:rPr>
          <w:rFonts w:cs="Times New Roman"/>
          <w:color w:val="000000" w:themeColor="text1"/>
          <w:sz w:val="20"/>
          <w:szCs w:val="20"/>
        </w:rPr>
        <w:t xml:space="preserve"> Banja Luka stock exchange is ensuring the efficient infrastructure for the connection of the offer and demand on the capital market of the Republic of Srpska.</w:t>
      </w:r>
    </w:p>
    <w:p w:rsidR="003066D2" w:rsidRPr="00AC7E60" w:rsidRDefault="003066D2" w:rsidP="00044557">
      <w:pPr>
        <w:spacing w:after="0" w:line="240" w:lineRule="auto"/>
        <w:rPr>
          <w:rFonts w:cs="Times New Roman"/>
          <w:i/>
          <w:color w:val="000000" w:themeColor="text1"/>
          <w:sz w:val="20"/>
          <w:szCs w:val="20"/>
        </w:rPr>
      </w:pPr>
      <w:r w:rsidRPr="00AC7E60">
        <w:rPr>
          <w:rFonts w:cs="Times New Roman"/>
          <w:i/>
          <w:color w:val="000000" w:themeColor="text1"/>
          <w:sz w:val="20"/>
          <w:szCs w:val="20"/>
        </w:rPr>
        <w:t>The vision of the</w:t>
      </w:r>
      <w:r w:rsidRPr="00AC7E60">
        <w:rPr>
          <w:rFonts w:cs="Times New Roman"/>
          <w:color w:val="000000" w:themeColor="text1"/>
          <w:sz w:val="20"/>
          <w:szCs w:val="20"/>
        </w:rPr>
        <w:t>Banja Luka stock exchange has become an efficient and modern service of the investor who is integrated in the regional capital market.</w:t>
      </w:r>
    </w:p>
    <w:p w:rsidR="003066D2" w:rsidRDefault="00AF5800"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On p</w:t>
      </w:r>
      <w:r w:rsidR="00776301" w:rsidRPr="00AC7E60">
        <w:rPr>
          <w:rFonts w:cs="Times New Roman"/>
          <w:color w:val="000000" w:themeColor="text1"/>
          <w:sz w:val="20"/>
          <w:szCs w:val="20"/>
        </w:rPr>
        <w:t xml:space="preserve">icture 1 </w:t>
      </w:r>
      <w:r w:rsidR="0074601E" w:rsidRPr="00AC7E60">
        <w:rPr>
          <w:rFonts w:cs="Times New Roman"/>
          <w:color w:val="000000" w:themeColor="text1"/>
          <w:sz w:val="20"/>
          <w:szCs w:val="20"/>
        </w:rPr>
        <w:t>are</w:t>
      </w:r>
      <w:r w:rsidRPr="00AC7E60">
        <w:rPr>
          <w:rFonts w:cs="Times New Roman"/>
          <w:color w:val="000000" w:themeColor="text1"/>
          <w:sz w:val="20"/>
          <w:szCs w:val="20"/>
        </w:rPr>
        <w:t xml:space="preserve"> presented</w:t>
      </w:r>
      <w:r w:rsidR="0074601E" w:rsidRPr="00AC7E60">
        <w:rPr>
          <w:rFonts w:cs="Times New Roman"/>
          <w:color w:val="000000" w:themeColor="text1"/>
          <w:sz w:val="20"/>
          <w:szCs w:val="20"/>
        </w:rPr>
        <w:t xml:space="preserve"> l</w:t>
      </w:r>
      <w:r w:rsidR="00776301" w:rsidRPr="00AC7E60">
        <w:rPr>
          <w:rFonts w:cs="Times New Roman"/>
          <w:color w:val="000000" w:themeColor="text1"/>
          <w:sz w:val="20"/>
          <w:szCs w:val="20"/>
        </w:rPr>
        <w:t>ast 10 transactions the Banja Luka stock exchange related to the end of October 2016.</w:t>
      </w:r>
    </w:p>
    <w:p w:rsidR="00044557" w:rsidRPr="00AC7E60" w:rsidRDefault="00044557" w:rsidP="00044557">
      <w:pPr>
        <w:spacing w:after="0" w:line="240" w:lineRule="auto"/>
        <w:rPr>
          <w:rFonts w:cs="Times New Roman"/>
          <w:color w:val="000000" w:themeColor="text1"/>
          <w:sz w:val="20"/>
          <w:szCs w:val="20"/>
        </w:rPr>
      </w:pPr>
    </w:p>
    <w:p w:rsidR="00A365D2" w:rsidRPr="00AC7E60" w:rsidRDefault="008C35A7" w:rsidP="00044557">
      <w:pPr>
        <w:spacing w:after="0" w:line="240" w:lineRule="auto"/>
        <w:rPr>
          <w:rFonts w:cs="Times New Roman"/>
          <w:color w:val="000000" w:themeColor="text1"/>
          <w:sz w:val="20"/>
          <w:szCs w:val="20"/>
        </w:rPr>
      </w:pPr>
      <w:r>
        <w:rPr>
          <w:rFonts w:cs="Times New Roman"/>
          <w:noProof/>
          <w:color w:val="000000" w:themeColor="text1"/>
          <w:sz w:val="20"/>
          <w:szCs w:val="20"/>
        </w:rPr>
        <w:pict>
          <v:shapetype id="_x0000_t202" coordsize="21600,21600" o:spt="202" path="m,l,21600r21600,l21600,xe">
            <v:stroke joinstyle="miter"/>
            <v:path gradientshapeok="t" o:connecttype="rect"/>
          </v:shapetype>
          <v:shape id="_x0000_s1026" type="#_x0000_t202" style="position:absolute;left:0;text-align:left;margin-left:7.1pt;margin-top:1pt;width:468.55pt;height:45.7pt;z-index:251658240" fillcolor="white [3212]" strokecolor="white [3212]">
            <v:textbox>
              <w:txbxContent>
                <w:tbl>
                  <w:tblPr>
                    <w:tblStyle w:val="TableGrid"/>
                    <w:tblW w:w="0" w:type="auto"/>
                    <w:tblInd w:w="1384" w:type="dxa"/>
                    <w:shd w:val="clear" w:color="auto" w:fill="FFFFFF" w:themeFill="background1"/>
                    <w:tblLook w:val="04A0"/>
                  </w:tblPr>
                  <w:tblGrid>
                    <w:gridCol w:w="966"/>
                    <w:gridCol w:w="1079"/>
                    <w:gridCol w:w="983"/>
                    <w:gridCol w:w="1069"/>
                    <w:gridCol w:w="961"/>
                    <w:gridCol w:w="1100"/>
                    <w:gridCol w:w="820"/>
                    <w:gridCol w:w="921"/>
                  </w:tblGrid>
                  <w:tr w:rsidR="000C7C34" w:rsidTr="003E10AA">
                    <w:tc>
                      <w:tcPr>
                        <w:tcW w:w="992" w:type="dxa"/>
                        <w:shd w:val="clear" w:color="auto" w:fill="FFFFFF" w:themeFill="background1"/>
                        <w:vAlign w:val="center"/>
                      </w:tcPr>
                      <w:p w:rsidR="003E10AA" w:rsidRDefault="003E10AA" w:rsidP="003E10AA">
                        <w:pPr>
                          <w:jc w:val="left"/>
                          <w:rPr>
                            <w:rFonts w:cs="Times New Roman"/>
                            <w:color w:val="000000" w:themeColor="text1"/>
                            <w:sz w:val="20"/>
                            <w:szCs w:val="20"/>
                          </w:rPr>
                        </w:pPr>
                        <w:r>
                          <w:rPr>
                            <w:rFonts w:cs="Times New Roman"/>
                            <w:color w:val="000000" w:themeColor="text1"/>
                            <w:sz w:val="20"/>
                            <w:szCs w:val="20"/>
                          </w:rPr>
                          <w:t>Middle course</w:t>
                        </w:r>
                      </w:p>
                    </w:tc>
                    <w:tc>
                      <w:tcPr>
                        <w:tcW w:w="1134" w:type="dxa"/>
                        <w:shd w:val="clear" w:color="auto" w:fill="FFFFFF" w:themeFill="background1"/>
                        <w:vAlign w:val="center"/>
                      </w:tcPr>
                      <w:p w:rsidR="003E10AA" w:rsidRDefault="003E10AA" w:rsidP="003E10AA">
                        <w:pPr>
                          <w:jc w:val="left"/>
                          <w:rPr>
                            <w:rFonts w:cs="Times New Roman"/>
                            <w:color w:val="000000" w:themeColor="text1"/>
                            <w:sz w:val="20"/>
                            <w:szCs w:val="20"/>
                          </w:rPr>
                        </w:pPr>
                        <w:r>
                          <w:rPr>
                            <w:rFonts w:cs="Times New Roman"/>
                            <w:color w:val="000000" w:themeColor="text1"/>
                            <w:sz w:val="20"/>
                            <w:szCs w:val="20"/>
                          </w:rPr>
                          <w:t>% of traffic</w:t>
                        </w:r>
                      </w:p>
                    </w:tc>
                    <w:tc>
                      <w:tcPr>
                        <w:tcW w:w="993" w:type="dxa"/>
                        <w:shd w:val="clear" w:color="auto" w:fill="FFFFFF" w:themeFill="background1"/>
                        <w:vAlign w:val="center"/>
                      </w:tcPr>
                      <w:p w:rsidR="003E10AA" w:rsidRDefault="003E10AA" w:rsidP="003E10AA">
                        <w:pPr>
                          <w:jc w:val="left"/>
                          <w:rPr>
                            <w:rFonts w:cs="Times New Roman"/>
                            <w:color w:val="000000" w:themeColor="text1"/>
                            <w:sz w:val="20"/>
                            <w:szCs w:val="20"/>
                          </w:rPr>
                        </w:pPr>
                        <w:r w:rsidRPr="003E10AA">
                          <w:rPr>
                            <w:rFonts w:cs="Times New Roman"/>
                            <w:color w:val="000000" w:themeColor="text1"/>
                            <w:sz w:val="20"/>
                            <w:szCs w:val="20"/>
                          </w:rPr>
                          <w:t>Best B</w:t>
                        </w:r>
                        <w:r>
                          <w:rPr>
                            <w:rFonts w:cs="Times New Roman"/>
                            <w:color w:val="000000" w:themeColor="text1"/>
                            <w:sz w:val="20"/>
                            <w:szCs w:val="20"/>
                          </w:rPr>
                          <w:t>uy Quantity</w:t>
                        </w:r>
                      </w:p>
                    </w:tc>
                    <w:tc>
                      <w:tcPr>
                        <w:tcW w:w="1134" w:type="dxa"/>
                        <w:shd w:val="clear" w:color="auto" w:fill="FFFFFF" w:themeFill="background1"/>
                        <w:vAlign w:val="center"/>
                      </w:tcPr>
                      <w:p w:rsidR="003E10AA" w:rsidRDefault="003E10AA" w:rsidP="003E10AA">
                        <w:pPr>
                          <w:jc w:val="left"/>
                          <w:rPr>
                            <w:rFonts w:cs="Times New Roman"/>
                            <w:color w:val="000000" w:themeColor="text1"/>
                            <w:sz w:val="20"/>
                            <w:szCs w:val="20"/>
                          </w:rPr>
                        </w:pPr>
                        <w:r>
                          <w:rPr>
                            <w:rFonts w:cs="Times New Roman"/>
                            <w:color w:val="000000" w:themeColor="text1"/>
                            <w:sz w:val="20"/>
                            <w:szCs w:val="20"/>
                          </w:rPr>
                          <w:t>Best Buy Price</w:t>
                        </w:r>
                      </w:p>
                    </w:tc>
                    <w:tc>
                      <w:tcPr>
                        <w:tcW w:w="992" w:type="dxa"/>
                        <w:shd w:val="clear" w:color="auto" w:fill="FFFFFF" w:themeFill="background1"/>
                        <w:vAlign w:val="center"/>
                      </w:tcPr>
                      <w:p w:rsidR="003E10AA" w:rsidRDefault="003E10AA" w:rsidP="003E10AA">
                        <w:pPr>
                          <w:jc w:val="left"/>
                          <w:rPr>
                            <w:rFonts w:cs="Times New Roman"/>
                            <w:color w:val="000000" w:themeColor="text1"/>
                            <w:sz w:val="20"/>
                            <w:szCs w:val="20"/>
                          </w:rPr>
                        </w:pPr>
                        <w:r>
                          <w:rPr>
                            <w:rFonts w:cs="Times New Roman"/>
                            <w:color w:val="000000" w:themeColor="text1"/>
                            <w:sz w:val="20"/>
                            <w:szCs w:val="20"/>
                          </w:rPr>
                          <w:t>Best selling price</w:t>
                        </w:r>
                      </w:p>
                    </w:tc>
                    <w:tc>
                      <w:tcPr>
                        <w:tcW w:w="1134" w:type="dxa"/>
                        <w:shd w:val="clear" w:color="auto" w:fill="FFFFFF" w:themeFill="background1"/>
                        <w:vAlign w:val="center"/>
                      </w:tcPr>
                      <w:p w:rsidR="003E10AA" w:rsidRDefault="003E10AA" w:rsidP="003E10AA">
                        <w:pPr>
                          <w:jc w:val="left"/>
                          <w:rPr>
                            <w:rFonts w:cs="Times New Roman"/>
                            <w:color w:val="000000" w:themeColor="text1"/>
                            <w:sz w:val="20"/>
                            <w:szCs w:val="20"/>
                          </w:rPr>
                        </w:pPr>
                        <w:r>
                          <w:rPr>
                            <w:rFonts w:cs="Times New Roman"/>
                            <w:color w:val="000000" w:themeColor="text1"/>
                            <w:sz w:val="20"/>
                            <w:szCs w:val="20"/>
                          </w:rPr>
                          <w:t>The best sales quantity</w:t>
                        </w:r>
                      </w:p>
                    </w:tc>
                    <w:tc>
                      <w:tcPr>
                        <w:tcW w:w="850" w:type="dxa"/>
                        <w:shd w:val="clear" w:color="auto" w:fill="FFFFFF" w:themeFill="background1"/>
                        <w:vAlign w:val="center"/>
                      </w:tcPr>
                      <w:p w:rsidR="003E10AA" w:rsidRDefault="003E10AA" w:rsidP="003E10AA">
                        <w:pPr>
                          <w:jc w:val="left"/>
                          <w:rPr>
                            <w:rFonts w:cs="Times New Roman"/>
                            <w:color w:val="000000" w:themeColor="text1"/>
                            <w:sz w:val="20"/>
                            <w:szCs w:val="20"/>
                          </w:rPr>
                        </w:pPr>
                        <w:r>
                          <w:rPr>
                            <w:rFonts w:cs="Times New Roman"/>
                            <w:color w:val="000000" w:themeColor="text1"/>
                            <w:sz w:val="20"/>
                            <w:szCs w:val="20"/>
                          </w:rPr>
                          <w:t>last price</w:t>
                        </w:r>
                      </w:p>
                    </w:tc>
                    <w:tc>
                      <w:tcPr>
                        <w:tcW w:w="963" w:type="dxa"/>
                        <w:shd w:val="clear" w:color="auto" w:fill="FFFFFF" w:themeFill="background1"/>
                        <w:vAlign w:val="center"/>
                      </w:tcPr>
                      <w:p w:rsidR="003E10AA" w:rsidRDefault="003E10AA" w:rsidP="003E10AA">
                        <w:pPr>
                          <w:jc w:val="left"/>
                          <w:rPr>
                            <w:rFonts w:cs="Times New Roman"/>
                            <w:color w:val="000000" w:themeColor="text1"/>
                            <w:sz w:val="20"/>
                            <w:szCs w:val="20"/>
                          </w:rPr>
                        </w:pPr>
                        <w:r w:rsidRPr="003E10AA">
                          <w:rPr>
                            <w:rFonts w:cs="Times New Roman"/>
                            <w:color w:val="000000" w:themeColor="text1"/>
                            <w:sz w:val="20"/>
                            <w:szCs w:val="20"/>
                          </w:rPr>
                          <w:t>Time</w:t>
                        </w:r>
                      </w:p>
                    </w:tc>
                  </w:tr>
                </w:tbl>
                <w:p w:rsidR="00044557" w:rsidRDefault="00044557"/>
              </w:txbxContent>
            </v:textbox>
          </v:shape>
        </w:pict>
      </w:r>
      <w:r w:rsidR="009764E8" w:rsidRPr="00AC7E60">
        <w:rPr>
          <w:rFonts w:cs="Times New Roman"/>
          <w:noProof/>
          <w:color w:val="000000" w:themeColor="text1"/>
          <w:sz w:val="20"/>
          <w:szCs w:val="20"/>
        </w:rPr>
        <w:drawing>
          <wp:inline distT="0" distB="0" distL="0" distR="0">
            <wp:extent cx="6019800" cy="2238375"/>
            <wp:effectExtent l="0" t="0" r="0" b="0"/>
            <wp:docPr id="2" name="Picture 1" descr="Hvat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taj"/>
                    <pic:cNvPicPr>
                      <a:picLocks noChangeAspect="1" noChangeArrowheads="1"/>
                    </pic:cNvPicPr>
                  </pic:nvPicPr>
                  <pic:blipFill>
                    <a:blip r:embed="rId8" cstate="print"/>
                    <a:srcRect/>
                    <a:stretch>
                      <a:fillRect/>
                    </a:stretch>
                  </pic:blipFill>
                  <pic:spPr bwMode="auto">
                    <a:xfrm>
                      <a:off x="0" y="0"/>
                      <a:ext cx="6026140" cy="2240732"/>
                    </a:xfrm>
                    <a:prstGeom prst="rect">
                      <a:avLst/>
                    </a:prstGeom>
                    <a:noFill/>
                    <a:ln w="9525">
                      <a:noFill/>
                      <a:miter lim="800000"/>
                      <a:headEnd/>
                      <a:tailEnd/>
                    </a:ln>
                  </pic:spPr>
                </pic:pic>
              </a:graphicData>
            </a:graphic>
          </wp:inline>
        </w:drawing>
      </w:r>
    </w:p>
    <w:p w:rsidR="009764E8" w:rsidRDefault="009764E8" w:rsidP="00044557">
      <w:pPr>
        <w:spacing w:after="0" w:line="240" w:lineRule="auto"/>
        <w:jc w:val="center"/>
        <w:rPr>
          <w:rFonts w:cs="Times New Roman"/>
          <w:i/>
          <w:color w:val="000000" w:themeColor="text1"/>
          <w:sz w:val="20"/>
          <w:szCs w:val="20"/>
        </w:rPr>
      </w:pPr>
      <w:r w:rsidRPr="00076731">
        <w:rPr>
          <w:rFonts w:cs="Times New Roman"/>
          <w:i/>
          <w:color w:val="000000" w:themeColor="text1"/>
          <w:sz w:val="20"/>
          <w:szCs w:val="20"/>
        </w:rPr>
        <w:t>Picture 1. – Last 10 transactions on Banja Luka stock market</w:t>
      </w:r>
    </w:p>
    <w:p w:rsidR="00076731" w:rsidRPr="00076731" w:rsidRDefault="00076731" w:rsidP="00044557">
      <w:pPr>
        <w:spacing w:after="0" w:line="240" w:lineRule="auto"/>
        <w:jc w:val="center"/>
        <w:rPr>
          <w:rFonts w:cs="Times New Roman"/>
          <w:i/>
          <w:color w:val="000000" w:themeColor="text1"/>
          <w:sz w:val="20"/>
          <w:szCs w:val="20"/>
        </w:rPr>
      </w:pPr>
      <w:r>
        <w:rPr>
          <w:rFonts w:cs="Times New Roman"/>
          <w:i/>
          <w:color w:val="000000" w:themeColor="text1"/>
          <w:sz w:val="20"/>
          <w:szCs w:val="20"/>
        </w:rPr>
        <w:t xml:space="preserve">(Source: </w:t>
      </w:r>
      <w:hyperlink r:id="rId9" w:history="1">
        <w:r w:rsidRPr="00076731">
          <w:rPr>
            <w:rStyle w:val="Hyperlink"/>
            <w:rFonts w:cs="Times New Roman"/>
            <w:sz w:val="20"/>
            <w:szCs w:val="20"/>
            <w:lang w:val="bs-Cyrl-BA"/>
          </w:rPr>
          <w:t>https://www.blberza.com/Pages/Default.aspx</w:t>
        </w:r>
      </w:hyperlink>
      <w:r>
        <w:rPr>
          <w:rStyle w:val="Hyperlink"/>
          <w:rFonts w:cs="Times New Roman"/>
          <w:sz w:val="20"/>
          <w:szCs w:val="20"/>
        </w:rPr>
        <w:t>)</w:t>
      </w:r>
    </w:p>
    <w:p w:rsidR="003066D2" w:rsidRPr="00AC7E60" w:rsidRDefault="003066D2" w:rsidP="00044557">
      <w:pPr>
        <w:spacing w:after="0" w:line="240" w:lineRule="auto"/>
        <w:rPr>
          <w:rFonts w:cs="Times New Roman"/>
          <w:color w:val="000000" w:themeColor="text1"/>
          <w:sz w:val="20"/>
          <w:szCs w:val="20"/>
        </w:rPr>
      </w:pPr>
    </w:p>
    <w:p w:rsidR="003066D2" w:rsidRPr="00AC7E60" w:rsidRDefault="00A365D2" w:rsidP="00044557">
      <w:pPr>
        <w:pStyle w:val="Heading2"/>
        <w:spacing w:before="0" w:line="240" w:lineRule="auto"/>
        <w:jc w:val="both"/>
        <w:rPr>
          <w:rFonts w:cs="Times New Roman"/>
          <w:sz w:val="20"/>
          <w:szCs w:val="20"/>
        </w:rPr>
      </w:pPr>
      <w:bookmarkStart w:id="5" w:name="_Toc465805970"/>
      <w:bookmarkStart w:id="6" w:name="_Toc477017178"/>
      <w:r w:rsidRPr="00AC7E60">
        <w:rPr>
          <w:rFonts w:cs="Times New Roman"/>
          <w:sz w:val="20"/>
          <w:szCs w:val="20"/>
        </w:rPr>
        <w:t>3.1.Strategic objectives</w:t>
      </w:r>
      <w:bookmarkEnd w:id="5"/>
      <w:bookmarkEnd w:id="6"/>
    </w:p>
    <w:p w:rsidR="003066D2" w:rsidRPr="00AC7E60" w:rsidRDefault="003066D2" w:rsidP="00044557">
      <w:pPr>
        <w:spacing w:after="0" w:line="240" w:lineRule="auto"/>
        <w:rPr>
          <w:rFonts w:cs="Times New Roman"/>
          <w:color w:val="000000" w:themeColor="text1"/>
          <w:sz w:val="20"/>
          <w:szCs w:val="20"/>
          <w:lang w:val="bs-Cyrl-BA"/>
        </w:rPr>
      </w:pP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The Priority strategic goals of the Banja Luka stock exchange are:</w:t>
      </w:r>
      <w:r w:rsidR="0074601E" w:rsidRPr="00AC7E60">
        <w:rPr>
          <w:rFonts w:cs="Times New Roman"/>
          <w:color w:val="000000" w:themeColor="text1"/>
          <w:sz w:val="20"/>
          <w:szCs w:val="20"/>
        </w:rPr>
        <w:t xml:space="preserve"> the promotion of the</w:t>
      </w:r>
      <w:r w:rsidRPr="00AC7E60">
        <w:rPr>
          <w:rFonts w:cs="Times New Roman"/>
          <w:color w:val="000000" w:themeColor="text1"/>
          <w:sz w:val="20"/>
          <w:szCs w:val="20"/>
        </w:rPr>
        <w:t xml:space="preserve"> primary market of securities, development of the corporate governance, the education of the participants in the capital market and the population, the creation of preconditions for the improvement of the liquidity of the market, technological improvement in connection with the sign system of trading, the international promotion of domestic capital markets and attracting foreign investor</w:t>
      </w:r>
      <w:r w:rsidR="00197D68" w:rsidRPr="00AC7E60">
        <w:rPr>
          <w:rFonts w:cs="Times New Roman"/>
          <w:color w:val="000000" w:themeColor="text1"/>
          <w:sz w:val="20"/>
          <w:szCs w:val="20"/>
        </w:rPr>
        <w:t xml:space="preserve">sand development </w:t>
      </w:r>
      <w:r w:rsidRPr="00AC7E60">
        <w:rPr>
          <w:rFonts w:cs="Times New Roman"/>
          <w:color w:val="000000" w:themeColor="text1"/>
          <w:sz w:val="20"/>
          <w:szCs w:val="20"/>
        </w:rPr>
        <w:t xml:space="preserve"> new technological service.</w:t>
      </w:r>
    </w:p>
    <w:p w:rsidR="00A365D2" w:rsidRPr="00AC7E60" w:rsidRDefault="00A365D2" w:rsidP="00044557">
      <w:pPr>
        <w:spacing w:after="0" w:line="240" w:lineRule="auto"/>
        <w:rPr>
          <w:rFonts w:cs="Times New Roman"/>
          <w:i/>
          <w:color w:val="000000" w:themeColor="text1"/>
          <w:sz w:val="20"/>
          <w:szCs w:val="20"/>
        </w:rPr>
      </w:pPr>
      <w:r w:rsidRPr="00AC7E60">
        <w:rPr>
          <w:rFonts w:cs="Times New Roman"/>
          <w:b/>
          <w:i/>
          <w:color w:val="000000" w:themeColor="text1"/>
          <w:sz w:val="20"/>
          <w:szCs w:val="20"/>
        </w:rPr>
        <w:t>The Promotion of the primary market of securities</w:t>
      </w:r>
      <w:r w:rsidRPr="00AC7E60">
        <w:rPr>
          <w:rFonts w:cs="Times New Roman"/>
          <w:color w:val="000000" w:themeColor="text1"/>
          <w:sz w:val="20"/>
          <w:szCs w:val="20"/>
        </w:rPr>
        <w:t>includes:</w:t>
      </w:r>
    </w:p>
    <w:p w:rsidR="00197D68" w:rsidRPr="00AC7E60" w:rsidRDefault="00197D68" w:rsidP="00044557">
      <w:pPr>
        <w:pStyle w:val="ListParagraph"/>
        <w:numPr>
          <w:ilvl w:val="0"/>
          <w:numId w:val="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improvement of the regulations related to the primary offer of securities</w:t>
      </w:r>
    </w:p>
    <w:p w:rsidR="00197D68" w:rsidRPr="00AC7E60" w:rsidRDefault="00197D68" w:rsidP="00044557">
      <w:pPr>
        <w:pStyle w:val="HTMLPreformatted"/>
        <w:shd w:val="clear" w:color="auto" w:fill="FFFFFF"/>
        <w:tabs>
          <w:tab w:val="left" w:pos="142"/>
        </w:tabs>
        <w:jc w:val="both"/>
        <w:rPr>
          <w:rFonts w:ascii="Times New Roman" w:hAnsi="Times New Roman" w:cs="Times New Roman"/>
          <w:color w:val="212121"/>
        </w:rPr>
      </w:pPr>
      <w:r w:rsidRPr="00AC7E60">
        <w:rPr>
          <w:rFonts w:ascii="Times New Roman" w:hAnsi="Times New Roman" w:cs="Times New Roman"/>
          <w:color w:val="212121"/>
        </w:rPr>
        <w:t>- education of private company management regarding the possibility of raising capital  on  the stock exchange and support for the listing of shares of private companies on the stock exchange</w:t>
      </w:r>
    </w:p>
    <w:p w:rsidR="00197D68" w:rsidRPr="00AC7E60" w:rsidRDefault="00197D68" w:rsidP="00044557">
      <w:pPr>
        <w:pStyle w:val="ListParagraph"/>
        <w:numPr>
          <w:ilvl w:val="0"/>
          <w:numId w:val="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professional support to issuers of municipal bonds</w:t>
      </w:r>
    </w:p>
    <w:p w:rsidR="00197D68" w:rsidRPr="00AC7E60" w:rsidRDefault="00197D68" w:rsidP="00044557">
      <w:pPr>
        <w:pStyle w:val="ListParagraph"/>
        <w:numPr>
          <w:ilvl w:val="0"/>
          <w:numId w:val="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support to the securitization of public sector debt</w:t>
      </w:r>
    </w:p>
    <w:p w:rsidR="008E4511" w:rsidRPr="00044557" w:rsidRDefault="003E0B2E" w:rsidP="00044557">
      <w:pPr>
        <w:pStyle w:val="ListParagraph"/>
        <w:numPr>
          <w:ilvl w:val="0"/>
          <w:numId w:val="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development of the primary market of bonds and treasury bills of Republika Srpska.</w:t>
      </w:r>
    </w:p>
    <w:p w:rsidR="003066D2" w:rsidRPr="00AC7E60" w:rsidRDefault="003066D2" w:rsidP="00044557">
      <w:pPr>
        <w:pStyle w:val="ListParagraph"/>
        <w:spacing w:after="0" w:line="240" w:lineRule="auto"/>
        <w:ind w:left="0"/>
        <w:rPr>
          <w:rFonts w:cs="Times New Roman"/>
          <w:i/>
          <w:color w:val="000000" w:themeColor="text1"/>
          <w:sz w:val="20"/>
          <w:szCs w:val="20"/>
        </w:rPr>
      </w:pPr>
      <w:r w:rsidRPr="00AC7E60">
        <w:rPr>
          <w:rFonts w:cs="Times New Roman"/>
          <w:b/>
          <w:i/>
          <w:color w:val="000000" w:themeColor="text1"/>
          <w:sz w:val="20"/>
          <w:szCs w:val="20"/>
        </w:rPr>
        <w:t>The development of the corporate governance</w:t>
      </w:r>
      <w:r w:rsidR="003E0B2E" w:rsidRPr="00AC7E60">
        <w:rPr>
          <w:rFonts w:cs="Times New Roman"/>
          <w:color w:val="000000" w:themeColor="text1"/>
          <w:sz w:val="20"/>
          <w:szCs w:val="20"/>
        </w:rPr>
        <w:t xml:space="preserve"> i</w:t>
      </w:r>
      <w:r w:rsidRPr="00AC7E60">
        <w:rPr>
          <w:rFonts w:cs="Times New Roman"/>
          <w:color w:val="000000" w:themeColor="text1"/>
          <w:sz w:val="20"/>
          <w:szCs w:val="20"/>
        </w:rPr>
        <w:t>ncludes:</w:t>
      </w:r>
    </w:p>
    <w:p w:rsidR="003066D2" w:rsidRPr="00AC7E60" w:rsidRDefault="008E4511" w:rsidP="00044557">
      <w:pPr>
        <w:pStyle w:val="ListParagraph"/>
        <w:numPr>
          <w:ilvl w:val="0"/>
          <w:numId w:val="3"/>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promotion of good practices of corporate governance and continuous preservation of new projects</w:t>
      </w:r>
    </w:p>
    <w:p w:rsidR="008E4511" w:rsidRPr="00AC7E60" w:rsidRDefault="008E4511" w:rsidP="00044557">
      <w:pPr>
        <w:pStyle w:val="HTMLPreformatted"/>
        <w:numPr>
          <w:ilvl w:val="0"/>
          <w:numId w:val="3"/>
        </w:numPr>
        <w:shd w:val="clear" w:color="auto" w:fill="FFFFFF"/>
        <w:tabs>
          <w:tab w:val="left" w:pos="142"/>
        </w:tabs>
        <w:ind w:left="0" w:firstLine="0"/>
        <w:jc w:val="both"/>
        <w:rPr>
          <w:rFonts w:ascii="Times New Roman" w:hAnsi="Times New Roman" w:cs="Times New Roman"/>
          <w:color w:val="212121"/>
        </w:rPr>
      </w:pPr>
      <w:r w:rsidRPr="00AC7E60">
        <w:rPr>
          <w:rFonts w:ascii="Times New Roman" w:hAnsi="Times New Roman" w:cs="Times New Roman"/>
          <w:color w:val="212121"/>
        </w:rPr>
        <w:t>supporting the introduction of corporate governance standards in public enterprises and</w:t>
      </w:r>
    </w:p>
    <w:p w:rsidR="008E4511" w:rsidRPr="00044557" w:rsidRDefault="008E4511" w:rsidP="00044557">
      <w:pPr>
        <w:pStyle w:val="HTMLPreformatted"/>
        <w:numPr>
          <w:ilvl w:val="0"/>
          <w:numId w:val="3"/>
        </w:numPr>
        <w:shd w:val="clear" w:color="auto" w:fill="FFFFFF"/>
        <w:tabs>
          <w:tab w:val="left" w:pos="142"/>
        </w:tabs>
        <w:ind w:left="0" w:firstLine="0"/>
        <w:jc w:val="both"/>
        <w:rPr>
          <w:rFonts w:ascii="Times New Roman" w:hAnsi="Times New Roman" w:cs="Times New Roman"/>
          <w:color w:val="212121"/>
        </w:rPr>
      </w:pPr>
      <w:r w:rsidRPr="00AC7E60">
        <w:rPr>
          <w:rFonts w:ascii="Times New Roman" w:hAnsi="Times New Roman" w:cs="Times New Roman"/>
          <w:color w:val="212121"/>
        </w:rPr>
        <w:t>improvement of the regulatory environment for business operations of companies</w:t>
      </w:r>
      <w:r w:rsidR="003066D2" w:rsidRPr="00AC7E60">
        <w:rPr>
          <w:rFonts w:ascii="Times New Roman" w:hAnsi="Times New Roman" w:cs="Times New Roman"/>
          <w:color w:val="000000" w:themeColor="text1"/>
        </w:rPr>
        <w:t>.</w:t>
      </w:r>
    </w:p>
    <w:p w:rsidR="003066D2" w:rsidRPr="00AC7E60" w:rsidRDefault="003066D2" w:rsidP="00044557">
      <w:pPr>
        <w:spacing w:after="0" w:line="240" w:lineRule="auto"/>
        <w:rPr>
          <w:rFonts w:cs="Times New Roman"/>
          <w:i/>
          <w:color w:val="000000" w:themeColor="text1"/>
          <w:sz w:val="20"/>
          <w:szCs w:val="20"/>
        </w:rPr>
      </w:pPr>
      <w:r w:rsidRPr="00AC7E60">
        <w:rPr>
          <w:rFonts w:cs="Times New Roman"/>
          <w:b/>
          <w:i/>
          <w:color w:val="000000" w:themeColor="text1"/>
          <w:sz w:val="20"/>
          <w:szCs w:val="20"/>
        </w:rPr>
        <w:t xml:space="preserve">The education of the participants in the capital market and the </w:t>
      </w:r>
      <w:r w:rsidR="008E4511" w:rsidRPr="00AC7E60">
        <w:rPr>
          <w:rFonts w:cs="Times New Roman"/>
          <w:b/>
          <w:i/>
          <w:color w:val="000000" w:themeColor="text1"/>
          <w:sz w:val="20"/>
          <w:szCs w:val="20"/>
        </w:rPr>
        <w:t>population</w:t>
      </w:r>
      <w:r w:rsidR="008E4511" w:rsidRPr="00AC7E60">
        <w:rPr>
          <w:rFonts w:cs="Times New Roman"/>
          <w:color w:val="000000" w:themeColor="text1"/>
          <w:sz w:val="20"/>
          <w:szCs w:val="20"/>
        </w:rPr>
        <w:t xml:space="preserve"> i</w:t>
      </w:r>
      <w:r w:rsidRPr="00AC7E60">
        <w:rPr>
          <w:rFonts w:cs="Times New Roman"/>
          <w:color w:val="000000" w:themeColor="text1"/>
          <w:sz w:val="20"/>
          <w:szCs w:val="20"/>
        </w:rPr>
        <w:t>ncludes:</w:t>
      </w:r>
    </w:p>
    <w:p w:rsidR="003066D2" w:rsidRPr="00AC7E60" w:rsidRDefault="008E4511" w:rsidP="00044557">
      <w:pPr>
        <w:pStyle w:val="ListParagraph"/>
        <w:numPr>
          <w:ilvl w:val="0"/>
          <w:numId w:val="4"/>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development of teaching contents related to financial markets and personal finances for secondary school students and students and improvement of curricula in this field</w:t>
      </w:r>
    </w:p>
    <w:p w:rsidR="008E4511" w:rsidRPr="00AC7E60" w:rsidRDefault="008E4511" w:rsidP="00044557">
      <w:pPr>
        <w:pStyle w:val="ListParagraph"/>
        <w:numPr>
          <w:ilvl w:val="0"/>
          <w:numId w:val="4"/>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organizing special seminars for educational institutions, company administrations, judicial institutions, associations of accountants and other professional associations</w:t>
      </w:r>
    </w:p>
    <w:p w:rsidR="008E4511" w:rsidRPr="00044557" w:rsidRDefault="008E4511" w:rsidP="00044557">
      <w:pPr>
        <w:pStyle w:val="HTMLPreformatted"/>
        <w:numPr>
          <w:ilvl w:val="0"/>
          <w:numId w:val="4"/>
        </w:numPr>
        <w:shd w:val="clear" w:color="auto" w:fill="FFFFFF"/>
        <w:tabs>
          <w:tab w:val="left" w:pos="142"/>
        </w:tabs>
        <w:ind w:left="0" w:firstLine="0"/>
        <w:jc w:val="both"/>
        <w:rPr>
          <w:rFonts w:ascii="Times New Roman" w:hAnsi="Times New Roman" w:cs="Times New Roman"/>
          <w:color w:val="212121"/>
        </w:rPr>
      </w:pPr>
      <w:r w:rsidRPr="00AC7E60">
        <w:rPr>
          <w:rFonts w:ascii="Times New Roman" w:hAnsi="Times New Roman" w:cs="Times New Roman"/>
          <w:color w:val="212121"/>
        </w:rPr>
        <w:t>Continuous education of the management and employees at the stock exchange in connection with modern trends in the capital markets in the world.</w:t>
      </w:r>
    </w:p>
    <w:p w:rsidR="003066D2" w:rsidRPr="00AC7E60" w:rsidRDefault="008E4511" w:rsidP="00044557">
      <w:pPr>
        <w:spacing w:after="0" w:line="240" w:lineRule="auto"/>
        <w:rPr>
          <w:rFonts w:cs="Times New Roman"/>
          <w:i/>
          <w:color w:val="000000" w:themeColor="text1"/>
          <w:sz w:val="20"/>
          <w:szCs w:val="20"/>
        </w:rPr>
      </w:pPr>
      <w:r w:rsidRPr="00AC7E60">
        <w:rPr>
          <w:rFonts w:cs="Times New Roman"/>
          <w:b/>
          <w:i/>
          <w:color w:val="000000" w:themeColor="text1"/>
          <w:sz w:val="20"/>
          <w:szCs w:val="20"/>
        </w:rPr>
        <w:t>Creating the preconditions for improving the liquidity of the market encompasses</w:t>
      </w:r>
      <w:r w:rsidR="003066D2" w:rsidRPr="00AC7E60">
        <w:rPr>
          <w:rFonts w:cs="Times New Roman"/>
          <w:color w:val="000000" w:themeColor="text1"/>
          <w:sz w:val="20"/>
          <w:szCs w:val="20"/>
        </w:rPr>
        <w:t>:</w:t>
      </w:r>
    </w:p>
    <w:p w:rsidR="008E4511" w:rsidRPr="00AC7E60" w:rsidRDefault="008E4511" w:rsidP="00044557">
      <w:pPr>
        <w:pStyle w:val="ListParagraph"/>
        <w:numPr>
          <w:ilvl w:val="0"/>
          <w:numId w:val="5"/>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Continuous improvement of trading rules and balances</w:t>
      </w:r>
    </w:p>
    <w:p w:rsidR="008E4511" w:rsidRPr="00AC7E60" w:rsidRDefault="008E4511" w:rsidP="00044557">
      <w:pPr>
        <w:pStyle w:val="ListParagraph"/>
        <w:numPr>
          <w:ilvl w:val="0"/>
          <w:numId w:val="5"/>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creating a stimulating environment to support liquidity of the market</w:t>
      </w:r>
    </w:p>
    <w:p w:rsidR="008E4511" w:rsidRPr="00AC7E60" w:rsidRDefault="008E4511" w:rsidP="00044557">
      <w:pPr>
        <w:pStyle w:val="ListParagraph"/>
        <w:numPr>
          <w:ilvl w:val="0"/>
          <w:numId w:val="5"/>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Support to the reform of the pension system in connection with the establishment of voluntary pension funds</w:t>
      </w:r>
    </w:p>
    <w:p w:rsidR="008E4511" w:rsidRPr="00AC7E60" w:rsidRDefault="008E4511" w:rsidP="00044557">
      <w:pPr>
        <w:pStyle w:val="HTMLPreformatted"/>
        <w:numPr>
          <w:ilvl w:val="0"/>
          <w:numId w:val="5"/>
        </w:numPr>
        <w:shd w:val="clear" w:color="auto" w:fill="FFFFFF"/>
        <w:tabs>
          <w:tab w:val="left" w:pos="142"/>
        </w:tabs>
        <w:ind w:left="0" w:firstLine="0"/>
        <w:jc w:val="both"/>
        <w:rPr>
          <w:rFonts w:ascii="Times New Roman" w:hAnsi="Times New Roman" w:cs="Times New Roman"/>
          <w:color w:val="212121"/>
        </w:rPr>
      </w:pPr>
      <w:r w:rsidRPr="00AC7E60">
        <w:rPr>
          <w:rFonts w:ascii="Times New Roman" w:hAnsi="Times New Roman" w:cs="Times New Roman"/>
          <w:color w:val="212121"/>
        </w:rPr>
        <w:t>support to the development of the investment fund industry</w:t>
      </w:r>
    </w:p>
    <w:p w:rsidR="003066D2" w:rsidRPr="00AC7E60" w:rsidRDefault="008E4511" w:rsidP="00044557">
      <w:pPr>
        <w:spacing w:after="0" w:line="240" w:lineRule="auto"/>
        <w:rPr>
          <w:rFonts w:cs="Times New Roman"/>
          <w:i/>
          <w:color w:val="000000" w:themeColor="text1"/>
          <w:sz w:val="20"/>
          <w:szCs w:val="20"/>
        </w:rPr>
      </w:pPr>
      <w:r w:rsidRPr="00AC7E60">
        <w:rPr>
          <w:rFonts w:cs="Times New Roman"/>
          <w:b/>
          <w:i/>
          <w:color w:val="000000" w:themeColor="text1"/>
          <w:sz w:val="20"/>
          <w:szCs w:val="20"/>
        </w:rPr>
        <w:t>Technological improvements in the stock exchange trading system include</w:t>
      </w:r>
      <w:r w:rsidR="003066D2" w:rsidRPr="00AC7E60">
        <w:rPr>
          <w:rFonts w:cs="Times New Roman"/>
          <w:color w:val="000000" w:themeColor="text1"/>
          <w:sz w:val="20"/>
          <w:szCs w:val="20"/>
        </w:rPr>
        <w:t>:</w:t>
      </w:r>
    </w:p>
    <w:p w:rsidR="00ED5C26" w:rsidRPr="00AC7E60" w:rsidRDefault="008E4511" w:rsidP="00044557">
      <w:pPr>
        <w:pStyle w:val="ListParagraph"/>
        <w:numPr>
          <w:ilvl w:val="0"/>
          <w:numId w:val="6"/>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continuation of the implementation of the FIX protocol in the trading system of the stock exchange</w:t>
      </w:r>
    </w:p>
    <w:p w:rsidR="00ED5C26" w:rsidRPr="00AC7E60" w:rsidRDefault="00ED5C26" w:rsidP="00044557">
      <w:pPr>
        <w:pStyle w:val="ListParagraph"/>
        <w:numPr>
          <w:ilvl w:val="0"/>
          <w:numId w:val="6"/>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enabling direct access to the market for investiture</w:t>
      </w:r>
    </w:p>
    <w:p w:rsidR="003066D2" w:rsidRPr="00044557" w:rsidRDefault="00ED5C26" w:rsidP="00044557">
      <w:pPr>
        <w:pStyle w:val="HTMLPreformatted"/>
        <w:numPr>
          <w:ilvl w:val="0"/>
          <w:numId w:val="6"/>
        </w:numPr>
        <w:shd w:val="clear" w:color="auto" w:fill="FFFFFF"/>
        <w:tabs>
          <w:tab w:val="left" w:pos="142"/>
        </w:tabs>
        <w:ind w:left="0" w:firstLine="0"/>
        <w:jc w:val="both"/>
        <w:rPr>
          <w:rFonts w:ascii="Times New Roman" w:hAnsi="Times New Roman" w:cs="Times New Roman"/>
          <w:color w:val="212121"/>
        </w:rPr>
      </w:pPr>
      <w:r w:rsidRPr="00AC7E60">
        <w:rPr>
          <w:rFonts w:ascii="Times New Roman" w:hAnsi="Times New Roman" w:cs="Times New Roman"/>
          <w:color w:val="212121"/>
        </w:rPr>
        <w:t>development of electronic systems for connection with members of regional stock exchanges</w:t>
      </w:r>
    </w:p>
    <w:p w:rsidR="003066D2" w:rsidRPr="00AC7E60" w:rsidRDefault="003066D2" w:rsidP="00044557">
      <w:pPr>
        <w:spacing w:after="0" w:line="240" w:lineRule="auto"/>
        <w:rPr>
          <w:rFonts w:cs="Times New Roman"/>
          <w:i/>
          <w:color w:val="000000" w:themeColor="text1"/>
          <w:sz w:val="20"/>
          <w:szCs w:val="20"/>
        </w:rPr>
      </w:pPr>
      <w:r w:rsidRPr="00AC7E60">
        <w:rPr>
          <w:rFonts w:cs="Times New Roman"/>
          <w:b/>
          <w:i/>
          <w:color w:val="000000" w:themeColor="text1"/>
          <w:sz w:val="20"/>
          <w:szCs w:val="20"/>
        </w:rPr>
        <w:t>The international promotion of the capital market</w:t>
      </w:r>
      <w:r w:rsidRPr="00AC7E60">
        <w:rPr>
          <w:rFonts w:cs="Times New Roman"/>
          <w:color w:val="000000" w:themeColor="text1"/>
          <w:sz w:val="20"/>
          <w:szCs w:val="20"/>
        </w:rPr>
        <w:t>includes:</w:t>
      </w:r>
    </w:p>
    <w:p w:rsidR="00ED5C26" w:rsidRPr="00AC7E60" w:rsidRDefault="00ED5C26" w:rsidP="00044557">
      <w:pPr>
        <w:pStyle w:val="HTMLPreformatted"/>
        <w:numPr>
          <w:ilvl w:val="0"/>
          <w:numId w:val="7"/>
        </w:numPr>
        <w:shd w:val="clear" w:color="auto" w:fill="FFFFFF"/>
        <w:tabs>
          <w:tab w:val="left" w:pos="142"/>
        </w:tabs>
        <w:ind w:left="0" w:firstLine="0"/>
        <w:jc w:val="both"/>
        <w:rPr>
          <w:rFonts w:ascii="Times New Roman" w:hAnsi="Times New Roman" w:cs="Times New Roman"/>
          <w:color w:val="212121"/>
        </w:rPr>
      </w:pPr>
      <w:r w:rsidRPr="00AC7E60">
        <w:rPr>
          <w:rFonts w:ascii="Times New Roman" w:hAnsi="Times New Roman" w:cs="Times New Roman"/>
          <w:color w:val="212121"/>
        </w:rPr>
        <w:t>international investment conferences in cooperation with regional stock exchanges</w:t>
      </w:r>
    </w:p>
    <w:p w:rsidR="00ED5C26" w:rsidRPr="00AC7E60" w:rsidRDefault="00ED5C26" w:rsidP="00044557">
      <w:pPr>
        <w:pStyle w:val="HTMLPreformatted"/>
        <w:numPr>
          <w:ilvl w:val="0"/>
          <w:numId w:val="7"/>
        </w:numPr>
        <w:shd w:val="clear" w:color="auto" w:fill="FFFFFF"/>
        <w:tabs>
          <w:tab w:val="left" w:pos="142"/>
        </w:tabs>
        <w:ind w:left="0" w:firstLine="0"/>
        <w:jc w:val="both"/>
        <w:rPr>
          <w:rFonts w:ascii="Times New Roman" w:hAnsi="Times New Roman" w:cs="Times New Roman"/>
          <w:color w:val="212121"/>
        </w:rPr>
      </w:pPr>
      <w:r w:rsidRPr="00AC7E60">
        <w:rPr>
          <w:rFonts w:ascii="Times New Roman" w:hAnsi="Times New Roman" w:cs="Times New Roman"/>
          <w:color w:val="212121"/>
        </w:rPr>
        <w:t>improvement of the Internet portal of the Banja Luka Stock Exchange</w:t>
      </w:r>
    </w:p>
    <w:p w:rsidR="00ED5C26" w:rsidRPr="00AC7E60" w:rsidRDefault="00ED5C26" w:rsidP="00044557">
      <w:pPr>
        <w:pStyle w:val="ListParagraph"/>
        <w:numPr>
          <w:ilvl w:val="0"/>
          <w:numId w:val="7"/>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cooperation with regional stock exchanges (data distribution, joint indexes, promotion and marketing)</w:t>
      </w:r>
    </w:p>
    <w:p w:rsidR="00ED5C26" w:rsidRPr="00EF2375" w:rsidRDefault="00ED5C26" w:rsidP="00044557">
      <w:pPr>
        <w:pStyle w:val="ListParagraph"/>
        <w:numPr>
          <w:ilvl w:val="0"/>
          <w:numId w:val="7"/>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improvement of the content from the domestic capital markets, which are forwarded through the leading world vendors.</w:t>
      </w:r>
    </w:p>
    <w:p w:rsidR="003066D2" w:rsidRPr="00AC7E60" w:rsidRDefault="003066D2" w:rsidP="00044557">
      <w:pPr>
        <w:spacing w:after="0" w:line="240" w:lineRule="auto"/>
        <w:rPr>
          <w:rFonts w:cs="Times New Roman"/>
          <w:i/>
          <w:color w:val="000000" w:themeColor="text1"/>
          <w:sz w:val="20"/>
          <w:szCs w:val="20"/>
        </w:rPr>
      </w:pPr>
      <w:r w:rsidRPr="00AC7E60">
        <w:rPr>
          <w:rFonts w:cs="Times New Roman"/>
          <w:b/>
          <w:i/>
          <w:color w:val="000000" w:themeColor="text1"/>
          <w:sz w:val="20"/>
          <w:szCs w:val="20"/>
        </w:rPr>
        <w:t>The development of new technological service</w:t>
      </w:r>
      <w:r w:rsidRPr="00AC7E60">
        <w:rPr>
          <w:rFonts w:cs="Times New Roman"/>
          <w:color w:val="000000" w:themeColor="text1"/>
          <w:sz w:val="20"/>
          <w:szCs w:val="20"/>
        </w:rPr>
        <w:t>includes:</w:t>
      </w:r>
    </w:p>
    <w:p w:rsidR="00ED5C26" w:rsidRPr="00AC7E60" w:rsidRDefault="00ED5C26" w:rsidP="00044557">
      <w:pPr>
        <w:pStyle w:val="ListParagraph"/>
        <w:numPr>
          <w:ilvl w:val="0"/>
          <w:numId w:val="8"/>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Multilateral compensation system, cession and factoring</w:t>
      </w:r>
    </w:p>
    <w:p w:rsidR="00ED5C26" w:rsidRPr="00AC7E60" w:rsidRDefault="003066D2" w:rsidP="00044557">
      <w:pPr>
        <w:pStyle w:val="HTMLPreformatted"/>
        <w:numPr>
          <w:ilvl w:val="0"/>
          <w:numId w:val="8"/>
        </w:numPr>
        <w:shd w:val="clear" w:color="auto" w:fill="FFFFFF"/>
        <w:tabs>
          <w:tab w:val="left" w:pos="142"/>
        </w:tabs>
        <w:ind w:left="0" w:firstLine="0"/>
        <w:jc w:val="both"/>
        <w:rPr>
          <w:rFonts w:ascii="Times New Roman" w:hAnsi="Times New Roman" w:cs="Times New Roman"/>
          <w:color w:val="212121"/>
        </w:rPr>
      </w:pPr>
      <w:r w:rsidRPr="00AC7E60">
        <w:rPr>
          <w:rFonts w:ascii="Times New Roman" w:hAnsi="Times New Roman" w:cs="Times New Roman"/>
          <w:color w:val="000000" w:themeColor="text1"/>
        </w:rPr>
        <w:t xml:space="preserve">The </w:t>
      </w:r>
      <w:r w:rsidR="00ED5C26" w:rsidRPr="00AC7E60">
        <w:rPr>
          <w:rFonts w:ascii="Times New Roman" w:hAnsi="Times New Roman" w:cs="Times New Roman"/>
          <w:color w:val="212121"/>
        </w:rPr>
        <w:t>Platform for coverage and valuation of the securities portfolio for the needs of investment funds</w:t>
      </w:r>
    </w:p>
    <w:p w:rsidR="003066D2" w:rsidRPr="00AC7E60" w:rsidRDefault="003066D2" w:rsidP="00044557">
      <w:pPr>
        <w:pStyle w:val="ListParagraph"/>
        <w:numPr>
          <w:ilvl w:val="0"/>
          <w:numId w:val="8"/>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The platform for the stock of goods</w:t>
      </w:r>
    </w:p>
    <w:p w:rsidR="00ED5C26" w:rsidRPr="00AC7E60" w:rsidRDefault="00ED5C26" w:rsidP="00044557">
      <w:pPr>
        <w:pStyle w:val="ListParagraph"/>
        <w:spacing w:after="0" w:line="240" w:lineRule="auto"/>
        <w:ind w:left="0"/>
        <w:rPr>
          <w:rFonts w:cs="Times New Roman"/>
          <w:color w:val="000000" w:themeColor="text1"/>
          <w:sz w:val="20"/>
          <w:szCs w:val="20"/>
        </w:rPr>
      </w:pPr>
    </w:p>
    <w:p w:rsidR="003066D2" w:rsidRDefault="00ED5C26"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The partnership relationship with the realization of the strategic objectives of the Banja Luka Stock Exchange is realized in cooperation with the Government of the Republic of Srpska and the competent ministries, the Securities Commission of Republika Srpska, members of the stock exchange and trade association of stock exchange intermediaries, the Central Securities Depository, the companies whose shares are listed on the official Stock Exchange, Central Bank of BiH, Insurance Agency of the Republic of Srpska, Association of Banks of Bosnia and Herzegovina and the Banking Agency of Republika Srpska, Regional Securities Stock Exchange and, in other partner institutions (Union AAARS, National Institute pedagogical RS et al).</w:t>
      </w:r>
    </w:p>
    <w:p w:rsidR="00AC7E60" w:rsidRPr="00AC7E60" w:rsidRDefault="00AC7E60" w:rsidP="00044557">
      <w:pPr>
        <w:spacing w:after="0" w:line="240" w:lineRule="auto"/>
        <w:rPr>
          <w:rFonts w:cs="Times New Roman"/>
          <w:color w:val="000000" w:themeColor="text1"/>
          <w:sz w:val="20"/>
          <w:szCs w:val="20"/>
          <w:lang w:val="bs-Cyrl-BA"/>
        </w:rPr>
      </w:pPr>
    </w:p>
    <w:p w:rsidR="003B5FE8" w:rsidRPr="00AC7E60" w:rsidRDefault="00A365D2" w:rsidP="00044557">
      <w:pPr>
        <w:pStyle w:val="Heading2"/>
        <w:spacing w:before="0" w:line="240" w:lineRule="auto"/>
        <w:jc w:val="both"/>
        <w:rPr>
          <w:rFonts w:cs="Times New Roman"/>
          <w:sz w:val="20"/>
          <w:szCs w:val="20"/>
        </w:rPr>
      </w:pPr>
      <w:bookmarkStart w:id="7" w:name="_Toc465805971"/>
      <w:bookmarkStart w:id="8" w:name="_Toc477017179"/>
      <w:r w:rsidRPr="00AC7E60">
        <w:rPr>
          <w:rFonts w:cs="Times New Roman"/>
          <w:sz w:val="20"/>
          <w:szCs w:val="20"/>
        </w:rPr>
        <w:t>3.2.</w:t>
      </w:r>
      <w:r w:rsidR="00ED5C26" w:rsidRPr="00AC7E60">
        <w:rPr>
          <w:rFonts w:cs="Times New Roman"/>
          <w:sz w:val="20"/>
          <w:szCs w:val="20"/>
        </w:rPr>
        <w:t>T</w:t>
      </w:r>
      <w:r w:rsidRPr="00AC7E60">
        <w:rPr>
          <w:rFonts w:cs="Times New Roman"/>
          <w:sz w:val="20"/>
          <w:szCs w:val="20"/>
        </w:rPr>
        <w:t>rading Systems</w:t>
      </w:r>
      <w:bookmarkEnd w:id="7"/>
      <w:bookmarkEnd w:id="8"/>
    </w:p>
    <w:p w:rsidR="00AC7E60" w:rsidRDefault="00AC7E60" w:rsidP="00044557">
      <w:pPr>
        <w:spacing w:after="0" w:line="240" w:lineRule="auto"/>
        <w:rPr>
          <w:rFonts w:cs="Times New Roman"/>
          <w:color w:val="000000" w:themeColor="text1"/>
          <w:sz w:val="20"/>
          <w:szCs w:val="20"/>
        </w:rPr>
      </w:pPr>
    </w:p>
    <w:p w:rsidR="0095455C"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Trading on the Banja Luka Stock Exchange takes place through stock exchange brokers, members of the stock exchange. An electronic trading system developed at the Ljubljana Stock Exchange. Members of the stock exchange may be companies for securities trading and a bank based in the Republic of Srpska. Stock market members do not have to be shareholders of the stock market. The Banja Luka Stock Exchange is traded with the continuous method and method of periodic auctions with the prevailing price. It trades five times a week: Monday, Tuesday, Wednesday, Thursday and Friday. The continuous method is traded with shares of issuers on the stock exchange listing. Continuous trading method  is also traded with free market shares  that meet liquidity criteria.</w:t>
      </w:r>
    </w:p>
    <w:p w:rsidR="0095455C"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The number of possible trading days must be greater than 30. The trade is divided into three phases. Discounted auctions last from 15 to 20 minutes. Daily price fluctuation is limited to ± 20%. Dynamic limits are at ± 3%.</w:t>
      </w:r>
    </w:p>
    <w:p w:rsidR="003066D2"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The opening price is calculated according to the following algorithm</w:t>
      </w:r>
      <w:r w:rsidR="003066D2" w:rsidRPr="00AC7E60">
        <w:rPr>
          <w:rFonts w:cs="Times New Roman"/>
          <w:color w:val="000000" w:themeColor="text1"/>
          <w:sz w:val="20"/>
          <w:szCs w:val="20"/>
        </w:rPr>
        <w:t>:</w:t>
      </w:r>
    </w:p>
    <w:p w:rsidR="003066D2" w:rsidRPr="00AC7E60" w:rsidRDefault="003066D2" w:rsidP="00044557">
      <w:pPr>
        <w:pStyle w:val="ListParagraph"/>
        <w:numPr>
          <w:ilvl w:val="0"/>
          <w:numId w:val="1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Quantity the largest volume of transactions,</w:t>
      </w:r>
    </w:p>
    <w:p w:rsidR="003066D2" w:rsidRPr="00AC7E60" w:rsidRDefault="003066D2" w:rsidP="00044557">
      <w:pPr>
        <w:pStyle w:val="ListParagraph"/>
        <w:numPr>
          <w:ilvl w:val="0"/>
          <w:numId w:val="1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The minimum rest,</w:t>
      </w:r>
    </w:p>
    <w:p w:rsidR="0095455C" w:rsidRPr="00AC7E60" w:rsidRDefault="0095455C" w:rsidP="00044557">
      <w:pPr>
        <w:pStyle w:val="ListParagraph"/>
        <w:numPr>
          <w:ilvl w:val="0"/>
          <w:numId w:val="1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if the remainder exists on the purchase side, the highest price is taken, and if the side of the sale is taken the lowest price,</w:t>
      </w:r>
    </w:p>
    <w:p w:rsidR="003066D2" w:rsidRPr="00AC7E60" w:rsidRDefault="0095455C" w:rsidP="00044557">
      <w:pPr>
        <w:pStyle w:val="ListParagraph"/>
        <w:numPr>
          <w:ilvl w:val="0"/>
          <w:numId w:val="12"/>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average price between the two selected prices according to the previous criteria</w:t>
      </w:r>
      <w:r w:rsidR="003066D2" w:rsidRPr="00AC7E60">
        <w:rPr>
          <w:rFonts w:cs="Times New Roman"/>
          <w:color w:val="000000" w:themeColor="text1"/>
          <w:sz w:val="20"/>
          <w:szCs w:val="20"/>
        </w:rPr>
        <w:t>.</w:t>
      </w:r>
    </w:p>
    <w:p w:rsidR="003066D2" w:rsidRPr="00AC7E60" w:rsidRDefault="003066D2" w:rsidP="00044557">
      <w:pPr>
        <w:spacing w:after="0" w:line="240" w:lineRule="auto"/>
        <w:rPr>
          <w:rFonts w:cs="Times New Roman"/>
          <w:color w:val="000000" w:themeColor="text1"/>
          <w:sz w:val="20"/>
          <w:szCs w:val="20"/>
          <w:lang w:val="bs-Cyrl-BA"/>
        </w:rPr>
      </w:pPr>
    </w:p>
    <w:p w:rsidR="0095455C" w:rsidRPr="00AC7E60" w:rsidRDefault="0095455C" w:rsidP="00044557">
      <w:pPr>
        <w:spacing w:after="0" w:line="240" w:lineRule="auto"/>
        <w:rPr>
          <w:rFonts w:cs="Times New Roman"/>
          <w:b/>
          <w:color w:val="000000" w:themeColor="text1"/>
          <w:sz w:val="20"/>
          <w:szCs w:val="20"/>
        </w:rPr>
      </w:pPr>
      <w:r w:rsidRPr="00AC7E60">
        <w:rPr>
          <w:rFonts w:cs="Times New Roman"/>
          <w:b/>
          <w:color w:val="000000" w:themeColor="text1"/>
          <w:sz w:val="20"/>
          <w:szCs w:val="20"/>
        </w:rPr>
        <w:t>Auction trading method</w:t>
      </w:r>
    </w:p>
    <w:p w:rsidR="0095455C" w:rsidRPr="00AC7E60" w:rsidRDefault="0095455C" w:rsidP="00044557">
      <w:pPr>
        <w:pStyle w:val="ListParagraph"/>
        <w:numPr>
          <w:ilvl w:val="0"/>
          <w:numId w:val="13"/>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The auction method is traded on the shares of free-market issuers that do not meet the liquidity criteria. Trading is divided into three phases:</w:t>
      </w:r>
    </w:p>
    <w:p w:rsidR="003066D2" w:rsidRPr="00AC7E60" w:rsidRDefault="0095455C" w:rsidP="00044557">
      <w:pPr>
        <w:pStyle w:val="ListParagraph"/>
        <w:numPr>
          <w:ilvl w:val="0"/>
          <w:numId w:val="13"/>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In the period from 08:30 to 12:00 + "random time" (random number selected from 0 to 120 seconds), entry, modification, retention, release and withdrawal of sales and purchase orders in BST is permitted.</w:t>
      </w:r>
      <w:r w:rsidR="003066D2" w:rsidRPr="00AC7E60">
        <w:rPr>
          <w:rFonts w:cs="Times New Roman"/>
          <w:color w:val="000000" w:themeColor="text1"/>
          <w:sz w:val="20"/>
          <w:szCs w:val="20"/>
        </w:rPr>
        <w:t>.</w:t>
      </w:r>
    </w:p>
    <w:p w:rsidR="003066D2" w:rsidRPr="00AC7E60" w:rsidRDefault="0095455C" w:rsidP="00044557">
      <w:pPr>
        <w:pStyle w:val="ListParagraph"/>
        <w:numPr>
          <w:ilvl w:val="0"/>
          <w:numId w:val="13"/>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at 12:00 + "random time" opening the market</w:t>
      </w:r>
      <w:r w:rsidR="003066D2" w:rsidRPr="00AC7E60">
        <w:rPr>
          <w:rFonts w:cs="Times New Roman"/>
          <w:color w:val="000000" w:themeColor="text1"/>
          <w:sz w:val="20"/>
          <w:szCs w:val="20"/>
        </w:rPr>
        <w:t>.</w:t>
      </w:r>
    </w:p>
    <w:p w:rsidR="0095455C" w:rsidRPr="00AC7E60" w:rsidRDefault="0095455C" w:rsidP="00044557">
      <w:pPr>
        <w:pStyle w:val="ListParagraph"/>
        <w:spacing w:after="0" w:line="240" w:lineRule="auto"/>
        <w:ind w:left="0"/>
        <w:rPr>
          <w:rFonts w:cs="Times New Roman"/>
          <w:color w:val="000000" w:themeColor="text1"/>
          <w:sz w:val="20"/>
          <w:szCs w:val="20"/>
        </w:rPr>
      </w:pPr>
      <w:r w:rsidRPr="00AC7E60">
        <w:rPr>
          <w:rFonts w:cs="Times New Roman"/>
          <w:color w:val="000000" w:themeColor="text1"/>
          <w:sz w:val="20"/>
          <w:szCs w:val="20"/>
        </w:rPr>
        <w:t>The opening price is based on the following criteria:</w:t>
      </w:r>
    </w:p>
    <w:p w:rsidR="0095455C" w:rsidRPr="00AC7E60" w:rsidRDefault="0095455C" w:rsidP="00044557">
      <w:pPr>
        <w:pStyle w:val="ListParagraph"/>
        <w:spacing w:after="0" w:line="240" w:lineRule="auto"/>
        <w:ind w:left="0"/>
        <w:rPr>
          <w:rFonts w:cs="Times New Roman"/>
          <w:color w:val="000000" w:themeColor="text1"/>
          <w:sz w:val="20"/>
          <w:szCs w:val="20"/>
        </w:rPr>
      </w:pPr>
      <w:r w:rsidRPr="00AC7E60">
        <w:rPr>
          <w:rFonts w:cs="Times New Roman"/>
          <w:color w:val="000000" w:themeColor="text1"/>
          <w:sz w:val="20"/>
          <w:szCs w:val="20"/>
        </w:rPr>
        <w:t xml:space="preserve"> - the largest volume of traffic, </w:t>
      </w:r>
    </w:p>
    <w:p w:rsidR="0095455C" w:rsidRPr="00AC7E60" w:rsidRDefault="0095455C" w:rsidP="00044557">
      <w:pPr>
        <w:pStyle w:val="ListParagraph"/>
        <w:spacing w:after="0" w:line="240" w:lineRule="auto"/>
        <w:ind w:left="0"/>
        <w:rPr>
          <w:rFonts w:cs="Times New Roman"/>
          <w:color w:val="000000" w:themeColor="text1"/>
          <w:sz w:val="20"/>
          <w:szCs w:val="20"/>
        </w:rPr>
      </w:pPr>
      <w:r w:rsidRPr="00AC7E60">
        <w:rPr>
          <w:rFonts w:cs="Times New Roman"/>
          <w:color w:val="000000" w:themeColor="text1"/>
          <w:sz w:val="20"/>
          <w:szCs w:val="20"/>
        </w:rPr>
        <w:t xml:space="preserve">-  minimum residue, </w:t>
      </w:r>
    </w:p>
    <w:p w:rsidR="0095455C" w:rsidRPr="00AC7E60" w:rsidRDefault="0095455C" w:rsidP="00044557">
      <w:pPr>
        <w:pStyle w:val="ListParagraph"/>
        <w:spacing w:after="0" w:line="240" w:lineRule="auto"/>
        <w:ind w:left="0"/>
        <w:rPr>
          <w:rFonts w:cs="Times New Roman"/>
          <w:color w:val="000000" w:themeColor="text1"/>
          <w:sz w:val="20"/>
          <w:szCs w:val="20"/>
        </w:rPr>
      </w:pPr>
      <w:r w:rsidRPr="00AC7E60">
        <w:rPr>
          <w:rFonts w:cs="Times New Roman"/>
          <w:color w:val="000000" w:themeColor="text1"/>
          <w:sz w:val="20"/>
          <w:szCs w:val="20"/>
        </w:rPr>
        <w:t xml:space="preserve">-  if the remainder exists on the purchase side, the highest price is taken, and if the lowest price is taken on the sales side, </w:t>
      </w:r>
    </w:p>
    <w:p w:rsidR="003066D2" w:rsidRPr="00AC7E60" w:rsidRDefault="0095455C" w:rsidP="00044557">
      <w:pPr>
        <w:pStyle w:val="ListParagraph"/>
        <w:spacing w:after="0" w:line="240" w:lineRule="auto"/>
        <w:ind w:left="0"/>
        <w:rPr>
          <w:rFonts w:cs="Times New Roman"/>
          <w:color w:val="000000" w:themeColor="text1"/>
          <w:sz w:val="20"/>
          <w:szCs w:val="20"/>
        </w:rPr>
      </w:pPr>
      <w:r w:rsidRPr="00AC7E60">
        <w:rPr>
          <w:rFonts w:cs="Times New Roman"/>
          <w:color w:val="000000" w:themeColor="text1"/>
          <w:sz w:val="20"/>
          <w:szCs w:val="20"/>
        </w:rPr>
        <w:t>-  the average price between the two selected prices according to the previous criteria.</w:t>
      </w:r>
      <w:r w:rsidR="003066D2" w:rsidRPr="00AC7E60">
        <w:rPr>
          <w:rFonts w:cs="Times New Roman"/>
          <w:color w:val="000000" w:themeColor="text1"/>
          <w:sz w:val="20"/>
          <w:szCs w:val="20"/>
        </w:rPr>
        <w:t>.</w:t>
      </w:r>
    </w:p>
    <w:p w:rsidR="0095455C"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When the prevailing price is formed, the jobs are made according to the following priorities: price, and older timestamp. The following types of orders are allowed: limited orders, orders with additional terms of execution (order all or nothing, order with minimum amount of all concluded jobs) and orders with additional terms of execution time (</w:t>
      </w:r>
      <w:r w:rsidR="00151BA8" w:rsidRPr="00AC7E60">
        <w:rPr>
          <w:rFonts w:cs="Times New Roman"/>
          <w:color w:val="000000" w:themeColor="text1"/>
          <w:sz w:val="20"/>
          <w:szCs w:val="20"/>
        </w:rPr>
        <w:t>daily, to a certain date, open)</w:t>
      </w:r>
      <w:r w:rsidRPr="00AC7E60">
        <w:rPr>
          <w:rFonts w:cs="Times New Roman"/>
          <w:color w:val="000000" w:themeColor="text1"/>
          <w:sz w:val="20"/>
          <w:szCs w:val="20"/>
        </w:rPr>
        <w:t>. Discontinued auctions takes 60 minutes. Dynamic limits are at ± 3%.</w:t>
      </w:r>
    </w:p>
    <w:p w:rsidR="0095455C" w:rsidRPr="00AC7E60" w:rsidRDefault="0095455C" w:rsidP="00044557">
      <w:pPr>
        <w:pStyle w:val="Heading2"/>
        <w:spacing w:before="0" w:line="240" w:lineRule="auto"/>
        <w:jc w:val="both"/>
        <w:rPr>
          <w:rFonts w:eastAsiaTheme="minorEastAsia" w:cs="Times New Roman"/>
          <w:b w:val="0"/>
          <w:bCs w:val="0"/>
          <w:sz w:val="20"/>
          <w:szCs w:val="20"/>
        </w:rPr>
      </w:pPr>
      <w:bookmarkStart w:id="9" w:name="_Toc465805972"/>
      <w:bookmarkStart w:id="10" w:name="_Toc477017180"/>
      <w:r w:rsidRPr="00AC7E60">
        <w:rPr>
          <w:rFonts w:eastAsiaTheme="minorEastAsia" w:cs="Times New Roman"/>
          <w:b w:val="0"/>
          <w:bCs w:val="0"/>
          <w:sz w:val="20"/>
          <w:szCs w:val="20"/>
        </w:rPr>
        <w:t xml:space="preserve">Exchange members can conclude block transactions outside the organized market if the following conditions are met: </w:t>
      </w:r>
    </w:p>
    <w:p w:rsidR="0095455C" w:rsidRPr="00AC7E60" w:rsidRDefault="00151BA8" w:rsidP="00044557">
      <w:pPr>
        <w:pStyle w:val="Heading2"/>
        <w:spacing w:before="0" w:line="240" w:lineRule="auto"/>
        <w:jc w:val="both"/>
        <w:rPr>
          <w:rFonts w:eastAsiaTheme="minorEastAsia" w:cs="Times New Roman"/>
          <w:b w:val="0"/>
          <w:bCs w:val="0"/>
          <w:sz w:val="20"/>
          <w:szCs w:val="20"/>
        </w:rPr>
      </w:pPr>
      <w:r w:rsidRPr="00AC7E60">
        <w:rPr>
          <w:rFonts w:eastAsiaTheme="minorEastAsia" w:cs="Times New Roman"/>
          <w:b w:val="0"/>
          <w:bCs w:val="0"/>
          <w:sz w:val="20"/>
          <w:szCs w:val="20"/>
        </w:rPr>
        <w:t xml:space="preserve">1. </w:t>
      </w:r>
      <w:r w:rsidR="0095455C" w:rsidRPr="00AC7E60">
        <w:rPr>
          <w:rFonts w:eastAsiaTheme="minorEastAsia" w:cs="Times New Roman"/>
          <w:b w:val="0"/>
          <w:bCs w:val="0"/>
          <w:sz w:val="20"/>
          <w:szCs w:val="20"/>
        </w:rPr>
        <w:t xml:space="preserve">the value of the transaction amounts to at least 500.000 KM, </w:t>
      </w:r>
    </w:p>
    <w:p w:rsidR="003B5FE8" w:rsidRPr="00AC7E60" w:rsidRDefault="00151BA8" w:rsidP="00044557">
      <w:pPr>
        <w:pStyle w:val="Heading2"/>
        <w:spacing w:before="0" w:line="240" w:lineRule="auto"/>
        <w:jc w:val="both"/>
        <w:rPr>
          <w:rFonts w:eastAsiaTheme="minorEastAsia" w:cs="Times New Roman"/>
          <w:b w:val="0"/>
          <w:bCs w:val="0"/>
          <w:sz w:val="20"/>
          <w:szCs w:val="20"/>
        </w:rPr>
      </w:pPr>
      <w:r w:rsidRPr="00AC7E60">
        <w:rPr>
          <w:rFonts w:eastAsiaTheme="minorEastAsia" w:cs="Times New Roman"/>
          <w:b w:val="0"/>
          <w:bCs w:val="0"/>
          <w:sz w:val="20"/>
          <w:szCs w:val="20"/>
        </w:rPr>
        <w:t xml:space="preserve">2. </w:t>
      </w:r>
      <w:r w:rsidR="0095455C" w:rsidRPr="00AC7E60">
        <w:rPr>
          <w:rFonts w:eastAsiaTheme="minorEastAsia" w:cs="Times New Roman"/>
          <w:b w:val="0"/>
          <w:bCs w:val="0"/>
          <w:sz w:val="20"/>
          <w:szCs w:val="20"/>
        </w:rPr>
        <w:t>the object of the transaction is a block of securities, and a member of the Exchange concludes such a business for his account and for the account of one client or account of two clients.</w:t>
      </w:r>
    </w:p>
    <w:p w:rsidR="0095455C" w:rsidRPr="00AC7E60" w:rsidRDefault="0095455C" w:rsidP="00044557">
      <w:pPr>
        <w:spacing w:after="0" w:line="240" w:lineRule="auto"/>
        <w:rPr>
          <w:rFonts w:cs="Times New Roman"/>
        </w:rPr>
      </w:pPr>
    </w:p>
    <w:p w:rsidR="003066D2" w:rsidRPr="00AC7E60" w:rsidRDefault="00A91D7C" w:rsidP="00044557">
      <w:pPr>
        <w:pStyle w:val="Heading2"/>
        <w:spacing w:before="0" w:line="240" w:lineRule="auto"/>
        <w:jc w:val="both"/>
        <w:rPr>
          <w:rFonts w:cs="Times New Roman"/>
          <w:sz w:val="20"/>
          <w:szCs w:val="20"/>
        </w:rPr>
      </w:pPr>
      <w:r w:rsidRPr="00AC7E60">
        <w:rPr>
          <w:rFonts w:cs="Times New Roman"/>
          <w:sz w:val="20"/>
          <w:szCs w:val="20"/>
        </w:rPr>
        <w:t>3.3.The Calculation and the settlement</w:t>
      </w:r>
      <w:bookmarkEnd w:id="9"/>
      <w:bookmarkEnd w:id="10"/>
    </w:p>
    <w:p w:rsidR="003066D2" w:rsidRPr="00AC7E60" w:rsidRDefault="003066D2" w:rsidP="00044557">
      <w:pPr>
        <w:spacing w:after="0" w:line="240" w:lineRule="auto"/>
        <w:rPr>
          <w:rFonts w:cs="Times New Roman"/>
          <w:color w:val="000000" w:themeColor="text1"/>
          <w:sz w:val="20"/>
          <w:szCs w:val="20"/>
          <w:lang w:val="bs-Cyrl-BA"/>
        </w:rPr>
      </w:pPr>
    </w:p>
    <w:p w:rsidR="0095455C"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After the end of the trade, the Banja Luka Stock Exchange sends a report to the Central Registry about the activities that were concluded that day. The report from the Banja Luka Stock Exchange, which the Central Registry receives in electronic form, contains the following data:</w:t>
      </w:r>
    </w:p>
    <w:p w:rsidR="0095455C"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  a security label that is the subject of a trade, </w:t>
      </w:r>
    </w:p>
    <w:p w:rsidR="0095455C"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  the amount of the security, </w:t>
      </w:r>
    </w:p>
    <w:p w:rsidR="0095455C"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  the price reached on the stock exchange, </w:t>
      </w:r>
    </w:p>
    <w:p w:rsidR="0095455C"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the code of the brokerage house of the seller and the brokerage house of the buyer,</w:t>
      </w:r>
    </w:p>
    <w:p w:rsidR="0095455C"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 - account number of the seller's client and the customer's account number</w:t>
      </w:r>
    </w:p>
    <w:p w:rsidR="003066D2" w:rsidRPr="00AC7E60" w:rsidRDefault="0095455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Upon receipt of the reports from the Banja Luka Stock Exchange, the Central Registry individually for each brokerage house performs clearing and settlement of monetary liabilities arising from transactions concluded on the stock exchange, ie determines the total value of sales activities, the total value of purchases and the difference between these two amounts, or the amount of net debt or the amount of net receivables</w:t>
      </w:r>
      <w:r w:rsidR="003066D2" w:rsidRPr="00AC7E60">
        <w:rPr>
          <w:rFonts w:cs="Times New Roman"/>
          <w:color w:val="000000" w:themeColor="text1"/>
          <w:sz w:val="20"/>
          <w:szCs w:val="20"/>
        </w:rPr>
        <w:t>.</w:t>
      </w:r>
    </w:p>
    <w:p w:rsidR="003066D2" w:rsidRPr="00AC7E60" w:rsidRDefault="00F97508"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Cash obligations arising from transactions concluded at the Banja Luka Stock Exchange are executed through a clearing and settlement account, which brokers have opened with one of the commercial banks, exclusively for this purpose. The settlement of the financial liabilities of brokerage houses is done through the account for settlement and settlement of the Central Registry, which is open with the Central Bank</w:t>
      </w:r>
      <w:r w:rsidR="003066D2" w:rsidRPr="00AC7E60">
        <w:rPr>
          <w:rFonts w:cs="Times New Roman"/>
          <w:color w:val="000000" w:themeColor="text1"/>
          <w:sz w:val="20"/>
          <w:szCs w:val="20"/>
        </w:rPr>
        <w:t>.</w:t>
      </w:r>
    </w:p>
    <w:p w:rsidR="00C9151E" w:rsidRDefault="00C9151E" w:rsidP="00044557">
      <w:pPr>
        <w:pStyle w:val="Heading2"/>
        <w:spacing w:before="0" w:line="240" w:lineRule="auto"/>
        <w:jc w:val="both"/>
        <w:rPr>
          <w:rFonts w:cs="Times New Roman"/>
          <w:sz w:val="20"/>
          <w:szCs w:val="20"/>
        </w:rPr>
      </w:pPr>
      <w:bookmarkStart w:id="11" w:name="_Toc465805973"/>
      <w:bookmarkStart w:id="12" w:name="_Toc477017181"/>
    </w:p>
    <w:p w:rsidR="003066D2" w:rsidRPr="00AC7E60" w:rsidRDefault="00A91D7C" w:rsidP="00044557">
      <w:pPr>
        <w:pStyle w:val="Heading2"/>
        <w:spacing w:before="0" w:line="240" w:lineRule="auto"/>
        <w:jc w:val="both"/>
        <w:rPr>
          <w:rFonts w:cs="Times New Roman"/>
          <w:sz w:val="20"/>
          <w:szCs w:val="20"/>
        </w:rPr>
      </w:pPr>
      <w:r w:rsidRPr="00AC7E60">
        <w:rPr>
          <w:rFonts w:cs="Times New Roman"/>
          <w:sz w:val="20"/>
          <w:szCs w:val="20"/>
        </w:rPr>
        <w:t>3.4.The costs of trading</w:t>
      </w:r>
      <w:bookmarkEnd w:id="11"/>
      <w:bookmarkEnd w:id="12"/>
    </w:p>
    <w:p w:rsidR="003066D2" w:rsidRPr="00AC7E60" w:rsidRDefault="003066D2" w:rsidP="00044557">
      <w:pPr>
        <w:spacing w:after="0" w:line="240" w:lineRule="auto"/>
        <w:rPr>
          <w:rFonts w:cs="Times New Roman"/>
          <w:color w:val="000000" w:themeColor="text1"/>
          <w:sz w:val="20"/>
          <w:szCs w:val="20"/>
          <w:lang w:val="bs-Cyrl-BA"/>
        </w:rPr>
      </w:pPr>
    </w:p>
    <w:p w:rsidR="003066D2" w:rsidRPr="00AC7E60" w:rsidRDefault="00A91D7C" w:rsidP="00044557">
      <w:pPr>
        <w:spacing w:after="0" w:line="240" w:lineRule="auto"/>
        <w:rPr>
          <w:rFonts w:cs="Times New Roman"/>
          <w:b/>
          <w:i/>
          <w:color w:val="000000" w:themeColor="text1"/>
          <w:sz w:val="20"/>
          <w:szCs w:val="20"/>
        </w:rPr>
      </w:pPr>
      <w:r w:rsidRPr="00AC7E60">
        <w:rPr>
          <w:rFonts w:cs="Times New Roman"/>
          <w:b/>
          <w:i/>
          <w:color w:val="000000" w:themeColor="text1"/>
          <w:sz w:val="20"/>
          <w:szCs w:val="20"/>
        </w:rPr>
        <w:t>3.4.1. The fee paid by the members of the stock exchange</w:t>
      </w:r>
    </w:p>
    <w:p w:rsidR="00CB37BB" w:rsidRPr="00AC7E60" w:rsidRDefault="00CB37BB" w:rsidP="00044557">
      <w:pPr>
        <w:spacing w:after="0" w:line="240" w:lineRule="auto"/>
        <w:rPr>
          <w:rFonts w:cs="Times New Roman"/>
          <w:b/>
          <w:color w:val="000000" w:themeColor="text1"/>
          <w:sz w:val="20"/>
          <w:szCs w:val="20"/>
          <w:lang w:val="bs-Cyrl-BA"/>
        </w:rPr>
      </w:pPr>
    </w:p>
    <w:p w:rsidR="00CB37BB" w:rsidRPr="00AC7E60" w:rsidRDefault="00F97508"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Members of the Exchange pay a membership fee, access to a stock exchange trading system, fees for concluding deals and fees for organizing auctions for a package of shares.</w:t>
      </w:r>
    </w:p>
    <w:p w:rsidR="00F97508" w:rsidRPr="00AC7E60" w:rsidRDefault="00F97508"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A member of the stock exchange pays membership fee when joining the membership in the amount of 8,000 BAM once, while the monthly membership fee is 400 BAM, per month. In case of status changes of the members of the Exchange (merger, merger), the legal successor pays a one-time fee in the amount of 2,000 BAM. The special authority and the direct participant in the money market do not pay the membership fee.</w:t>
      </w:r>
    </w:p>
    <w:p w:rsidR="003066D2" w:rsidRPr="00AC7E60" w:rsidRDefault="00F97508"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Access to the stock exchange trading system is charged at the monthly level for the use of the trading center 200 BAM for the first station, or 100 BAM for the second and each subsequent trading station. One-time fee for introducing an integral approach to the trading system through FIX protocol is 1000 BAM. Monthly fee for integral access to the trading system for trading through FIX protocol is 600 BAM. A member of the Exchange with special powers and a direct participant in the money market does not pay the fee for access to the stock exchange trading system</w:t>
      </w:r>
      <w:r w:rsidR="003066D2" w:rsidRPr="00AC7E60">
        <w:rPr>
          <w:rFonts w:cs="Times New Roman"/>
          <w:color w:val="000000" w:themeColor="text1"/>
          <w:sz w:val="20"/>
          <w:szCs w:val="20"/>
        </w:rPr>
        <w:t>.</w:t>
      </w:r>
    </w:p>
    <w:p w:rsidR="003066D2" w:rsidRPr="00AC7E60" w:rsidRDefault="00F97508"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The transaction fee is charged to the buyer and the seller of securities on the value of the concluded transaction and amounts</w:t>
      </w:r>
      <w:r w:rsidR="003066D2" w:rsidRPr="00AC7E60">
        <w:rPr>
          <w:rFonts w:cs="Times New Roman"/>
          <w:color w:val="000000" w:themeColor="text1"/>
          <w:sz w:val="20"/>
          <w:szCs w:val="20"/>
        </w:rPr>
        <w:t>:</w:t>
      </w:r>
    </w:p>
    <w:p w:rsidR="003066D2" w:rsidRPr="00AC7E60" w:rsidRDefault="003066D2" w:rsidP="00044557">
      <w:pPr>
        <w:pStyle w:val="ListParagraph"/>
        <w:numPr>
          <w:ilvl w:val="0"/>
          <w:numId w:val="19"/>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0.10% for action</w:t>
      </w:r>
    </w:p>
    <w:p w:rsidR="003066D2" w:rsidRPr="00AC7E60" w:rsidRDefault="003066D2" w:rsidP="00044557">
      <w:pPr>
        <w:pStyle w:val="ListParagraph"/>
        <w:numPr>
          <w:ilvl w:val="0"/>
          <w:numId w:val="19"/>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0.02% for bonds</w:t>
      </w:r>
    </w:p>
    <w:p w:rsidR="003066D2" w:rsidRPr="00AC7E60" w:rsidRDefault="003066D2" w:rsidP="00044557">
      <w:pPr>
        <w:pStyle w:val="ListParagraph"/>
        <w:numPr>
          <w:ilvl w:val="0"/>
          <w:numId w:val="19"/>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0.01% for Treasury Operations Section records and other short-term Securities</w:t>
      </w:r>
    </w:p>
    <w:p w:rsidR="003066D2" w:rsidRPr="00AC7E60" w:rsidRDefault="003066D2" w:rsidP="00044557">
      <w:pPr>
        <w:pStyle w:val="ListParagraph"/>
        <w:numPr>
          <w:ilvl w:val="0"/>
          <w:numId w:val="19"/>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0.01% for REPO Operations</w:t>
      </w:r>
    </w:p>
    <w:p w:rsidR="003066D2" w:rsidRPr="00AC7E60" w:rsidRDefault="003066D2" w:rsidP="00044557">
      <w:pPr>
        <w:pStyle w:val="ListParagraph"/>
        <w:numPr>
          <w:ilvl w:val="0"/>
          <w:numId w:val="19"/>
        </w:numPr>
        <w:tabs>
          <w:tab w:val="left" w:pos="142"/>
        </w:tabs>
        <w:spacing w:after="0" w:line="240" w:lineRule="auto"/>
        <w:ind w:left="0" w:firstLine="0"/>
        <w:rPr>
          <w:rFonts w:cs="Times New Roman"/>
          <w:color w:val="000000" w:themeColor="text1"/>
          <w:sz w:val="20"/>
          <w:szCs w:val="20"/>
        </w:rPr>
      </w:pPr>
      <w:r w:rsidRPr="00AC7E60">
        <w:rPr>
          <w:rFonts w:cs="Times New Roman"/>
          <w:color w:val="000000" w:themeColor="text1"/>
          <w:sz w:val="20"/>
          <w:szCs w:val="20"/>
        </w:rPr>
        <w:t>0.10% for other Financial Instruments</w:t>
      </w:r>
    </w:p>
    <w:p w:rsidR="00F97508" w:rsidRPr="00AC7E60" w:rsidRDefault="00F97508" w:rsidP="00044557">
      <w:pPr>
        <w:pStyle w:val="HTMLPreformatted"/>
        <w:shd w:val="clear" w:color="auto" w:fill="FFFFFF"/>
        <w:jc w:val="both"/>
        <w:rPr>
          <w:rFonts w:ascii="Times New Roman" w:hAnsi="Times New Roman" w:cs="Times New Roman"/>
          <w:color w:val="212121"/>
        </w:rPr>
      </w:pPr>
      <w:r w:rsidRPr="00AC7E60">
        <w:rPr>
          <w:rFonts w:ascii="Times New Roman" w:hAnsi="Times New Roman" w:cs="Times New Roman"/>
          <w:color w:val="212121"/>
        </w:rPr>
        <w:t>The amount of the fee for concluding a business can not exceed  20,000 BAM  per transaction.</w:t>
      </w:r>
    </w:p>
    <w:p w:rsidR="00F97508" w:rsidRPr="00AC7E60" w:rsidRDefault="00F97508" w:rsidP="00044557">
      <w:pPr>
        <w:pStyle w:val="HTMLPreformatted"/>
        <w:shd w:val="clear" w:color="auto" w:fill="FFFFFF"/>
        <w:jc w:val="both"/>
        <w:rPr>
          <w:rFonts w:ascii="Times New Roman" w:hAnsi="Times New Roman" w:cs="Times New Roman"/>
          <w:color w:val="212121"/>
        </w:rPr>
      </w:pPr>
      <w:r w:rsidRPr="00AC7E60">
        <w:rPr>
          <w:rFonts w:ascii="Times New Roman" w:hAnsi="Times New Roman" w:cs="Times New Roman"/>
          <w:color w:val="212121"/>
        </w:rPr>
        <w:t>The amount of the fee for concluding deals in the public offer of securities for the issuer (seller) can not be higher than 5,000 BAM.</w:t>
      </w:r>
    </w:p>
    <w:p w:rsidR="00F97508" w:rsidRPr="00AC7E60" w:rsidRDefault="00F97508" w:rsidP="00044557">
      <w:pPr>
        <w:pStyle w:val="HTMLPreformatted"/>
        <w:shd w:val="clear" w:color="auto" w:fill="FFFFFF"/>
        <w:jc w:val="both"/>
        <w:rPr>
          <w:rFonts w:ascii="Times New Roman" w:hAnsi="Times New Roman" w:cs="Times New Roman"/>
          <w:color w:val="212121"/>
        </w:rPr>
      </w:pPr>
      <w:r w:rsidRPr="00AC7E60">
        <w:rPr>
          <w:rFonts w:ascii="Times New Roman" w:hAnsi="Times New Roman" w:cs="Times New Roman"/>
          <w:color w:val="212121"/>
        </w:rPr>
        <w:t>T-bill deals are charged only on the secondary market.</w:t>
      </w:r>
    </w:p>
    <w:p w:rsidR="00F97508" w:rsidRPr="00AC7E60" w:rsidRDefault="00151BA8" w:rsidP="00044557">
      <w:pPr>
        <w:pStyle w:val="HTMLPreformatted"/>
        <w:shd w:val="clear" w:color="auto" w:fill="FFFFFF"/>
        <w:jc w:val="both"/>
        <w:rPr>
          <w:rFonts w:ascii="Times New Roman" w:hAnsi="Times New Roman" w:cs="Times New Roman"/>
          <w:color w:val="212121"/>
        </w:rPr>
      </w:pPr>
      <w:r w:rsidRPr="00AC7E60">
        <w:rPr>
          <w:rFonts w:ascii="Times New Roman" w:hAnsi="Times New Roman" w:cs="Times New Roman"/>
          <w:color w:val="212121"/>
        </w:rPr>
        <w:t>Refund for REPO jobs</w:t>
      </w:r>
      <w:r w:rsidR="00F97508" w:rsidRPr="00AC7E60">
        <w:rPr>
          <w:rFonts w:ascii="Times New Roman" w:hAnsi="Times New Roman" w:cs="Times New Roman"/>
          <w:color w:val="212121"/>
        </w:rPr>
        <w:t xml:space="preserve"> is paid by the seller of securities for jobs that are concluded for a period longer than a month.</w:t>
      </w:r>
    </w:p>
    <w:p w:rsidR="00F97508" w:rsidRPr="00AC7E60" w:rsidRDefault="00F97508" w:rsidP="00044557">
      <w:pPr>
        <w:pStyle w:val="HTMLPreformatted"/>
        <w:shd w:val="clear" w:color="auto" w:fill="FFFFFF"/>
        <w:jc w:val="both"/>
        <w:rPr>
          <w:rFonts w:ascii="Times New Roman" w:hAnsi="Times New Roman" w:cs="Times New Roman"/>
          <w:color w:val="212121"/>
        </w:rPr>
      </w:pPr>
      <w:r w:rsidRPr="00AC7E60">
        <w:rPr>
          <w:rFonts w:ascii="Times New Roman" w:hAnsi="Times New Roman" w:cs="Times New Roman"/>
          <w:color w:val="212121"/>
        </w:rPr>
        <w:t xml:space="preserve">Expenses for termination or correction of work are paid by the applicant in the amount of 10 </w:t>
      </w:r>
      <w:r w:rsidR="008F1C0A" w:rsidRPr="00AC7E60">
        <w:rPr>
          <w:rFonts w:ascii="Times New Roman" w:hAnsi="Times New Roman" w:cs="Times New Roman"/>
          <w:color w:val="212121"/>
        </w:rPr>
        <w:t>BA</w:t>
      </w:r>
      <w:r w:rsidRPr="00AC7E60">
        <w:rPr>
          <w:rFonts w:ascii="Times New Roman" w:hAnsi="Times New Roman" w:cs="Times New Roman"/>
          <w:color w:val="212121"/>
        </w:rPr>
        <w:t>M per transaction.</w:t>
      </w:r>
    </w:p>
    <w:p w:rsidR="00F97508" w:rsidRPr="00AC7E60" w:rsidRDefault="00F97508" w:rsidP="00044557">
      <w:pPr>
        <w:pStyle w:val="HTMLPreformatted"/>
        <w:shd w:val="clear" w:color="auto" w:fill="FFFFFF"/>
        <w:jc w:val="both"/>
        <w:rPr>
          <w:rFonts w:ascii="Times New Roman" w:hAnsi="Times New Roman" w:cs="Times New Roman"/>
          <w:color w:val="212121"/>
        </w:rPr>
      </w:pPr>
      <w:r w:rsidRPr="00AC7E60">
        <w:rPr>
          <w:rFonts w:ascii="Times New Roman" w:hAnsi="Times New Roman" w:cs="Times New Roman"/>
          <w:color w:val="212121"/>
        </w:rPr>
        <w:t xml:space="preserve">For the organization of the auction, the package action package, the package of shares, pays 200 </w:t>
      </w:r>
      <w:r w:rsidR="008F1C0A" w:rsidRPr="00AC7E60">
        <w:rPr>
          <w:rFonts w:ascii="Times New Roman" w:hAnsi="Times New Roman" w:cs="Times New Roman"/>
          <w:color w:val="212121"/>
        </w:rPr>
        <w:t>BA</w:t>
      </w:r>
      <w:r w:rsidRPr="00AC7E60">
        <w:rPr>
          <w:rFonts w:ascii="Times New Roman" w:hAnsi="Times New Roman" w:cs="Times New Roman"/>
          <w:color w:val="212121"/>
        </w:rPr>
        <w:t>M per package of shares, while for repeated auctions for the same package of shares it amounts to 50</w:t>
      </w:r>
      <w:r w:rsidR="008F1C0A" w:rsidRPr="00AC7E60">
        <w:rPr>
          <w:rFonts w:ascii="Times New Roman" w:hAnsi="Times New Roman" w:cs="Times New Roman"/>
          <w:color w:val="212121"/>
        </w:rPr>
        <w:t xml:space="preserve"> BA</w:t>
      </w:r>
      <w:r w:rsidRPr="00AC7E60">
        <w:rPr>
          <w:rFonts w:ascii="Times New Roman" w:hAnsi="Times New Roman" w:cs="Times New Roman"/>
          <w:color w:val="212121"/>
        </w:rPr>
        <w:t>M</w:t>
      </w:r>
    </w:p>
    <w:p w:rsidR="003D4F8E" w:rsidRPr="00AC7E60" w:rsidRDefault="003D4F8E" w:rsidP="00044557">
      <w:pPr>
        <w:spacing w:after="0" w:line="240" w:lineRule="auto"/>
        <w:rPr>
          <w:rFonts w:cs="Times New Roman"/>
          <w:color w:val="000000" w:themeColor="text1"/>
          <w:sz w:val="20"/>
          <w:szCs w:val="20"/>
          <w:lang w:val="bs-Cyrl-BA"/>
        </w:rPr>
      </w:pPr>
    </w:p>
    <w:p w:rsidR="003066D2" w:rsidRPr="00AC7E60" w:rsidRDefault="00A91D7C" w:rsidP="00044557">
      <w:pPr>
        <w:spacing w:after="0" w:line="240" w:lineRule="auto"/>
        <w:rPr>
          <w:rFonts w:cs="Times New Roman"/>
          <w:i/>
          <w:color w:val="000000" w:themeColor="text1"/>
          <w:sz w:val="20"/>
          <w:szCs w:val="20"/>
        </w:rPr>
      </w:pPr>
      <w:r w:rsidRPr="00AC7E60">
        <w:rPr>
          <w:rFonts w:cs="Times New Roman"/>
          <w:b/>
          <w:i/>
          <w:color w:val="000000" w:themeColor="text1"/>
          <w:sz w:val="20"/>
          <w:szCs w:val="20"/>
        </w:rPr>
        <w:t xml:space="preserve">3.4.2. </w:t>
      </w:r>
      <w:r w:rsidR="008F1C0A" w:rsidRPr="00AC7E60">
        <w:rPr>
          <w:rFonts w:cs="Times New Roman"/>
          <w:b/>
          <w:i/>
          <w:color w:val="000000" w:themeColor="text1"/>
          <w:sz w:val="20"/>
          <w:szCs w:val="20"/>
        </w:rPr>
        <w:t>Fees paid by issuers of securities</w:t>
      </w:r>
    </w:p>
    <w:p w:rsidR="008F1C0A" w:rsidRPr="00AC7E60" w:rsidRDefault="008F1C0A" w:rsidP="00044557">
      <w:pPr>
        <w:pStyle w:val="HTMLPreformatted"/>
        <w:shd w:val="clear" w:color="auto" w:fill="FFFFFF"/>
        <w:jc w:val="both"/>
        <w:rPr>
          <w:rFonts w:ascii="Times New Roman" w:hAnsi="Times New Roman" w:cs="Times New Roman"/>
          <w:color w:val="212121"/>
        </w:rPr>
      </w:pPr>
      <w:r w:rsidRPr="00AC7E60">
        <w:rPr>
          <w:rFonts w:ascii="Times New Roman" w:hAnsi="Times New Roman" w:cs="Times New Roman"/>
          <w:color w:val="212121"/>
        </w:rPr>
        <w:t>The fee for admission of securities to the official stock exchange market is 3,000 BAM for shares. The fee for admission of securities to the free market is 300 BAM.</w:t>
      </w:r>
    </w:p>
    <w:p w:rsidR="009764E8" w:rsidRPr="00AC7E60" w:rsidRDefault="008F1C0A" w:rsidP="00044557">
      <w:pPr>
        <w:pStyle w:val="HTMLPreformatted"/>
        <w:shd w:val="clear" w:color="auto" w:fill="FFFFFF"/>
        <w:jc w:val="both"/>
        <w:rPr>
          <w:rFonts w:ascii="Times New Roman" w:hAnsi="Times New Roman" w:cs="Times New Roman"/>
          <w:color w:val="212121"/>
        </w:rPr>
      </w:pPr>
      <w:r w:rsidRPr="00AC7E60">
        <w:rPr>
          <w:rFonts w:ascii="Times New Roman" w:hAnsi="Times New Roman" w:cs="Times New Roman"/>
          <w:color w:val="212121"/>
        </w:rPr>
        <w:t>Annual fee for trading in shares on the official stock exchange market:</w:t>
      </w:r>
    </w:p>
    <w:p w:rsidR="009764E8" w:rsidRPr="00AC7E60" w:rsidRDefault="009764E8" w:rsidP="00044557">
      <w:pPr>
        <w:spacing w:after="0" w:line="240" w:lineRule="auto"/>
        <w:rPr>
          <w:rFonts w:cs="Times New Roman"/>
          <w:color w:val="000000" w:themeColor="text1"/>
          <w:sz w:val="20"/>
          <w:szCs w:val="20"/>
        </w:rPr>
      </w:pPr>
    </w:p>
    <w:tbl>
      <w:tblPr>
        <w:tblW w:w="60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4467"/>
        <w:gridCol w:w="1533"/>
      </w:tblGrid>
      <w:tr w:rsidR="009764E8" w:rsidRPr="00AC7E60" w:rsidTr="002A4EDF">
        <w:trPr>
          <w:tblCellSpacing w:w="15" w:type="dxa"/>
          <w:jc w:val="center"/>
        </w:trPr>
        <w:tc>
          <w:tcPr>
            <w:tcW w:w="0" w:type="auto"/>
            <w:noWrap/>
            <w:tcMar>
              <w:top w:w="120" w:type="dxa"/>
              <w:left w:w="75" w:type="dxa"/>
              <w:bottom w:w="120" w:type="dxa"/>
              <w:right w:w="75" w:type="dxa"/>
            </w:tcMar>
            <w:vAlign w:val="bottom"/>
            <w:hideMark/>
          </w:tcPr>
          <w:p w:rsidR="009764E8" w:rsidRPr="00AC7E60" w:rsidRDefault="008F1C0A" w:rsidP="00044557">
            <w:pPr>
              <w:spacing w:after="0" w:line="240" w:lineRule="auto"/>
              <w:rPr>
                <w:rFonts w:eastAsia="Times New Roman" w:cs="Times New Roman"/>
                <w:b/>
                <w:bCs/>
                <w:color w:val="000000" w:themeColor="text1"/>
                <w:sz w:val="20"/>
                <w:szCs w:val="20"/>
              </w:rPr>
            </w:pPr>
            <w:r w:rsidRPr="00AC7E60">
              <w:rPr>
                <w:rFonts w:eastAsia="Times New Roman" w:cs="Times New Roman"/>
                <w:b/>
                <w:bCs/>
                <w:color w:val="000000" w:themeColor="text1"/>
                <w:sz w:val="20"/>
                <w:szCs w:val="20"/>
              </w:rPr>
              <w:t>Total capital of the issuer in BAM</w:t>
            </w:r>
          </w:p>
        </w:tc>
        <w:tc>
          <w:tcPr>
            <w:tcW w:w="0" w:type="auto"/>
            <w:noWrap/>
            <w:tcMar>
              <w:top w:w="120" w:type="dxa"/>
              <w:left w:w="75" w:type="dxa"/>
              <w:bottom w:w="120" w:type="dxa"/>
              <w:right w:w="75" w:type="dxa"/>
            </w:tcMar>
            <w:vAlign w:val="bottom"/>
            <w:hideMark/>
          </w:tcPr>
          <w:p w:rsidR="009764E8" w:rsidRPr="00AC7E60" w:rsidRDefault="008F1C0A" w:rsidP="00044557">
            <w:pPr>
              <w:spacing w:after="0" w:line="240" w:lineRule="auto"/>
              <w:rPr>
                <w:rFonts w:eastAsia="Times New Roman" w:cs="Times New Roman"/>
                <w:b/>
                <w:bCs/>
                <w:color w:val="000000" w:themeColor="text1"/>
                <w:sz w:val="20"/>
                <w:szCs w:val="20"/>
              </w:rPr>
            </w:pPr>
            <w:r w:rsidRPr="00AC7E60">
              <w:rPr>
                <w:rFonts w:eastAsia="Times New Roman" w:cs="Times New Roman"/>
                <w:b/>
                <w:bCs/>
                <w:color w:val="000000" w:themeColor="text1"/>
                <w:sz w:val="20"/>
                <w:szCs w:val="20"/>
              </w:rPr>
              <w:t>feeinBA</w:t>
            </w:r>
            <w:r w:rsidR="009764E8" w:rsidRPr="00AC7E60">
              <w:rPr>
                <w:rFonts w:eastAsia="Times New Roman" w:cs="Times New Roman"/>
                <w:b/>
                <w:bCs/>
                <w:color w:val="000000" w:themeColor="text1"/>
                <w:sz w:val="20"/>
                <w:szCs w:val="20"/>
              </w:rPr>
              <w:t>М</w:t>
            </w:r>
          </w:p>
        </w:tc>
      </w:tr>
      <w:tr w:rsidR="009764E8" w:rsidRPr="00AC7E60" w:rsidTr="002A4EDF">
        <w:trPr>
          <w:tblCellSpacing w:w="15" w:type="dxa"/>
          <w:jc w:val="center"/>
        </w:trPr>
        <w:tc>
          <w:tcPr>
            <w:tcW w:w="0" w:type="auto"/>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5.000.000</w:t>
            </w:r>
          </w:p>
        </w:tc>
        <w:tc>
          <w:tcPr>
            <w:tcW w:w="0" w:type="auto"/>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1.000</w:t>
            </w:r>
          </w:p>
        </w:tc>
      </w:tr>
      <w:tr w:rsidR="009764E8" w:rsidRPr="00AC7E60" w:rsidTr="002A4EDF">
        <w:trPr>
          <w:tblCellSpacing w:w="15" w:type="dxa"/>
          <w:jc w:val="center"/>
        </w:trPr>
        <w:tc>
          <w:tcPr>
            <w:tcW w:w="0" w:type="auto"/>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од</w:t>
            </w:r>
            <w:r w:rsidRPr="00AC7E60">
              <w:rPr>
                <w:rFonts w:eastAsia="Times New Roman" w:cs="Times New Roman"/>
                <w:color w:val="000000" w:themeColor="text1"/>
                <w:sz w:val="20"/>
                <w:szCs w:val="20"/>
              </w:rPr>
              <w:t xml:space="preserve"> 5.000.001 </w:t>
            </w:r>
            <w:r w:rsidR="008F1C0A" w:rsidRPr="00AC7E60">
              <w:rPr>
                <w:rFonts w:eastAsia="Times New Roman" w:cs="Times New Roman"/>
                <w:color w:val="000000" w:themeColor="text1"/>
                <w:sz w:val="20"/>
                <w:szCs w:val="20"/>
                <w:lang w:val="bs-Cyrl-BA"/>
              </w:rPr>
              <w:t>up to</w:t>
            </w:r>
            <w:r w:rsidRPr="00AC7E60">
              <w:rPr>
                <w:rFonts w:eastAsia="Times New Roman" w:cs="Times New Roman"/>
                <w:color w:val="000000" w:themeColor="text1"/>
                <w:sz w:val="20"/>
                <w:szCs w:val="20"/>
              </w:rPr>
              <w:t xml:space="preserve"> 10.000.000</w:t>
            </w:r>
          </w:p>
        </w:tc>
        <w:tc>
          <w:tcPr>
            <w:tcW w:w="0" w:type="auto"/>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2.000</w:t>
            </w:r>
          </w:p>
        </w:tc>
      </w:tr>
      <w:tr w:rsidR="009764E8" w:rsidRPr="00AC7E60" w:rsidTr="002A4EDF">
        <w:trPr>
          <w:tblCellSpacing w:w="15" w:type="dxa"/>
          <w:jc w:val="center"/>
        </w:trPr>
        <w:tc>
          <w:tcPr>
            <w:tcW w:w="0" w:type="auto"/>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from</w:t>
            </w:r>
            <w:r w:rsidR="009764E8" w:rsidRPr="00AC7E60">
              <w:rPr>
                <w:rFonts w:eastAsia="Times New Roman" w:cs="Times New Roman"/>
                <w:color w:val="000000" w:themeColor="text1"/>
                <w:sz w:val="20"/>
                <w:szCs w:val="20"/>
              </w:rPr>
              <w:t xml:space="preserve"> 10.000.001 </w:t>
            </w: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20.000.000</w:t>
            </w:r>
          </w:p>
        </w:tc>
        <w:tc>
          <w:tcPr>
            <w:tcW w:w="0" w:type="auto"/>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3.000</w:t>
            </w:r>
          </w:p>
        </w:tc>
      </w:tr>
      <w:tr w:rsidR="009764E8" w:rsidRPr="00AC7E60" w:rsidTr="002A4EDF">
        <w:trPr>
          <w:tblCellSpacing w:w="15" w:type="dxa"/>
          <w:jc w:val="center"/>
        </w:trPr>
        <w:tc>
          <w:tcPr>
            <w:tcW w:w="0" w:type="auto"/>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from</w:t>
            </w:r>
            <w:r w:rsidR="009764E8" w:rsidRPr="00AC7E60">
              <w:rPr>
                <w:rFonts w:eastAsia="Times New Roman" w:cs="Times New Roman"/>
                <w:color w:val="000000" w:themeColor="text1"/>
                <w:sz w:val="20"/>
                <w:szCs w:val="20"/>
              </w:rPr>
              <w:t xml:space="preserve"> 20.000.001 </w:t>
            </w: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50.000.000</w:t>
            </w:r>
          </w:p>
        </w:tc>
        <w:tc>
          <w:tcPr>
            <w:tcW w:w="0" w:type="auto"/>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4.000</w:t>
            </w:r>
          </w:p>
        </w:tc>
      </w:tr>
      <w:tr w:rsidR="009764E8" w:rsidRPr="00AC7E60" w:rsidTr="002A4EDF">
        <w:trPr>
          <w:tblCellSpacing w:w="15" w:type="dxa"/>
          <w:jc w:val="center"/>
        </w:trPr>
        <w:tc>
          <w:tcPr>
            <w:tcW w:w="0" w:type="auto"/>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 xml:space="preserve">from </w:t>
            </w:r>
            <w:r w:rsidR="009764E8" w:rsidRPr="00AC7E60">
              <w:rPr>
                <w:rFonts w:eastAsia="Times New Roman" w:cs="Times New Roman"/>
                <w:color w:val="000000" w:themeColor="text1"/>
                <w:sz w:val="20"/>
                <w:szCs w:val="20"/>
              </w:rPr>
              <w:t xml:space="preserve">50.000.001 </w:t>
            </w: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100.000.000</w:t>
            </w:r>
          </w:p>
        </w:tc>
        <w:tc>
          <w:tcPr>
            <w:tcW w:w="0" w:type="auto"/>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6.000</w:t>
            </w:r>
          </w:p>
        </w:tc>
      </w:tr>
      <w:tr w:rsidR="009764E8" w:rsidRPr="00AC7E60" w:rsidTr="002A4EDF">
        <w:trPr>
          <w:tblCellSpacing w:w="15" w:type="dxa"/>
          <w:jc w:val="center"/>
        </w:trPr>
        <w:tc>
          <w:tcPr>
            <w:tcW w:w="0" w:type="auto"/>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from</w:t>
            </w:r>
            <w:r w:rsidR="009764E8" w:rsidRPr="00AC7E60">
              <w:rPr>
                <w:rFonts w:eastAsia="Times New Roman" w:cs="Times New Roman"/>
                <w:color w:val="000000" w:themeColor="text1"/>
                <w:sz w:val="20"/>
                <w:szCs w:val="20"/>
              </w:rPr>
              <w:t xml:space="preserve"> 100.000.001 </w:t>
            </w: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200.000.000</w:t>
            </w:r>
          </w:p>
        </w:tc>
        <w:tc>
          <w:tcPr>
            <w:tcW w:w="0" w:type="auto"/>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8.000</w:t>
            </w:r>
          </w:p>
        </w:tc>
      </w:tr>
      <w:tr w:rsidR="009764E8" w:rsidRPr="00AC7E60" w:rsidTr="002A4EDF">
        <w:trPr>
          <w:tblCellSpacing w:w="15" w:type="dxa"/>
          <w:jc w:val="center"/>
        </w:trPr>
        <w:tc>
          <w:tcPr>
            <w:tcW w:w="0" w:type="auto"/>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from</w:t>
            </w:r>
            <w:r w:rsidR="009764E8" w:rsidRPr="00AC7E60">
              <w:rPr>
                <w:rFonts w:eastAsia="Times New Roman" w:cs="Times New Roman"/>
                <w:color w:val="000000" w:themeColor="text1"/>
                <w:sz w:val="20"/>
                <w:szCs w:val="20"/>
              </w:rPr>
              <w:t xml:space="preserve"> 200.000.001 </w:t>
            </w:r>
            <w:r w:rsidRPr="00AC7E60">
              <w:rPr>
                <w:rFonts w:eastAsia="Times New Roman" w:cs="Times New Roman"/>
                <w:color w:val="000000" w:themeColor="text1"/>
                <w:sz w:val="20"/>
                <w:szCs w:val="20"/>
              </w:rPr>
              <w:t>and more</w:t>
            </w:r>
          </w:p>
        </w:tc>
        <w:tc>
          <w:tcPr>
            <w:tcW w:w="0" w:type="auto"/>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10.000</w:t>
            </w:r>
          </w:p>
        </w:tc>
      </w:tr>
    </w:tbl>
    <w:p w:rsidR="003066D2" w:rsidRPr="00AC7E60" w:rsidRDefault="003066D2" w:rsidP="00044557">
      <w:pPr>
        <w:spacing w:after="0" w:line="240" w:lineRule="auto"/>
        <w:rPr>
          <w:rFonts w:cs="Times New Roman"/>
          <w:color w:val="000000" w:themeColor="text1"/>
          <w:sz w:val="20"/>
          <w:szCs w:val="20"/>
        </w:rPr>
      </w:pP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For emitente who have less than 200 shareholders compensation may not be higher than 1,500 </w:t>
      </w:r>
      <w:r w:rsidR="008F1C0A" w:rsidRPr="00AC7E60">
        <w:rPr>
          <w:rFonts w:cs="Times New Roman"/>
          <w:color w:val="000000" w:themeColor="text1"/>
          <w:sz w:val="20"/>
          <w:szCs w:val="20"/>
        </w:rPr>
        <w:t>BA</w:t>
      </w:r>
      <w:r w:rsidRPr="00AC7E60">
        <w:rPr>
          <w:rFonts w:cs="Times New Roman"/>
          <w:color w:val="000000" w:themeColor="text1"/>
          <w:sz w:val="20"/>
          <w:szCs w:val="20"/>
        </w:rPr>
        <w:t>M.</w:t>
      </w:r>
      <w:r w:rsidR="008F1C0A" w:rsidRPr="00AC7E60">
        <w:rPr>
          <w:rFonts w:cs="Times New Roman"/>
          <w:color w:val="000000" w:themeColor="text1"/>
          <w:sz w:val="20"/>
          <w:szCs w:val="20"/>
        </w:rPr>
        <w:t xml:space="preserve"> Issuers whose shares are listed on the official stock exchange market - the initial market (List C) are reduced by 25% of the annual fee.</w:t>
      </w:r>
    </w:p>
    <w:p w:rsidR="00503FB4" w:rsidRDefault="00503FB4" w:rsidP="00044557">
      <w:pPr>
        <w:spacing w:after="0" w:line="240" w:lineRule="auto"/>
        <w:rPr>
          <w:rFonts w:cs="Times New Roman"/>
          <w:color w:val="000000" w:themeColor="text1"/>
          <w:sz w:val="20"/>
          <w:szCs w:val="20"/>
        </w:rPr>
      </w:pPr>
    </w:p>
    <w:p w:rsidR="003066D2" w:rsidRDefault="008F1C0A"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Annual fee for trading bonds on the official stock exchange market</w:t>
      </w:r>
      <w:r w:rsidR="003066D2" w:rsidRPr="00AC7E60">
        <w:rPr>
          <w:rFonts w:cs="Times New Roman"/>
          <w:color w:val="000000" w:themeColor="text1"/>
          <w:sz w:val="20"/>
          <w:szCs w:val="20"/>
        </w:rPr>
        <w:t>:</w:t>
      </w:r>
    </w:p>
    <w:p w:rsidR="00AC7E60" w:rsidRPr="00AC7E60" w:rsidRDefault="00AC7E60" w:rsidP="00044557">
      <w:pPr>
        <w:spacing w:after="0" w:line="240" w:lineRule="auto"/>
        <w:rPr>
          <w:rFonts w:cs="Times New Roman"/>
          <w:color w:val="000000" w:themeColor="text1"/>
          <w:sz w:val="20"/>
          <w:szCs w:val="20"/>
        </w:rPr>
      </w:pPr>
    </w:p>
    <w:tbl>
      <w:tblPr>
        <w:tblW w:w="60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tblPr>
      <w:tblGrid>
        <w:gridCol w:w="4268"/>
        <w:gridCol w:w="1732"/>
      </w:tblGrid>
      <w:tr w:rsidR="009764E8" w:rsidRPr="00AC7E60" w:rsidTr="002A4EDF">
        <w:trPr>
          <w:trHeight w:val="24"/>
          <w:tblCellSpacing w:w="15" w:type="dxa"/>
          <w:jc w:val="center"/>
        </w:trPr>
        <w:tc>
          <w:tcPr>
            <w:tcW w:w="0" w:type="auto"/>
            <w:shd w:val="clear" w:color="auto" w:fill="FFFFFF"/>
            <w:noWrap/>
            <w:tcMar>
              <w:top w:w="120" w:type="dxa"/>
              <w:left w:w="75" w:type="dxa"/>
              <w:bottom w:w="120" w:type="dxa"/>
              <w:right w:w="75" w:type="dxa"/>
            </w:tcMar>
            <w:vAlign w:val="bottom"/>
            <w:hideMark/>
          </w:tcPr>
          <w:p w:rsidR="009764E8" w:rsidRPr="00AC7E60" w:rsidRDefault="008F1C0A" w:rsidP="00044557">
            <w:pPr>
              <w:spacing w:after="0" w:line="240" w:lineRule="auto"/>
              <w:rPr>
                <w:rFonts w:eastAsia="Times New Roman" w:cs="Times New Roman"/>
                <w:b/>
                <w:bCs/>
                <w:color w:val="000000" w:themeColor="text1"/>
                <w:sz w:val="20"/>
                <w:szCs w:val="20"/>
              </w:rPr>
            </w:pPr>
            <w:r w:rsidRPr="00AC7E60">
              <w:rPr>
                <w:rFonts w:eastAsia="Times New Roman" w:cs="Times New Roman"/>
                <w:b/>
                <w:bCs/>
                <w:color w:val="000000" w:themeColor="text1"/>
                <w:sz w:val="20"/>
                <w:szCs w:val="20"/>
              </w:rPr>
              <w:t>Emission value in BAM</w:t>
            </w:r>
          </w:p>
        </w:tc>
        <w:tc>
          <w:tcPr>
            <w:tcW w:w="0" w:type="auto"/>
            <w:shd w:val="clear" w:color="auto" w:fill="FFFFFF"/>
            <w:noWrap/>
            <w:tcMar>
              <w:top w:w="120" w:type="dxa"/>
              <w:left w:w="75" w:type="dxa"/>
              <w:bottom w:w="120" w:type="dxa"/>
              <w:right w:w="75" w:type="dxa"/>
            </w:tcMar>
            <w:vAlign w:val="bottom"/>
            <w:hideMark/>
          </w:tcPr>
          <w:p w:rsidR="009764E8" w:rsidRPr="00AC7E60" w:rsidRDefault="008F1C0A" w:rsidP="00044557">
            <w:pPr>
              <w:spacing w:after="0" w:line="240" w:lineRule="auto"/>
              <w:rPr>
                <w:rFonts w:eastAsia="Times New Roman" w:cs="Times New Roman"/>
                <w:b/>
                <w:bCs/>
                <w:color w:val="000000" w:themeColor="text1"/>
                <w:sz w:val="20"/>
                <w:szCs w:val="20"/>
              </w:rPr>
            </w:pPr>
            <w:r w:rsidRPr="00AC7E60">
              <w:rPr>
                <w:rFonts w:eastAsia="Times New Roman" w:cs="Times New Roman"/>
                <w:b/>
                <w:bCs/>
                <w:color w:val="000000" w:themeColor="text1"/>
                <w:sz w:val="20"/>
                <w:szCs w:val="20"/>
              </w:rPr>
              <w:t>Fee in BA</w:t>
            </w:r>
            <w:r w:rsidR="009764E8" w:rsidRPr="00AC7E60">
              <w:rPr>
                <w:rFonts w:eastAsia="Times New Roman" w:cs="Times New Roman"/>
                <w:b/>
                <w:bCs/>
                <w:color w:val="000000" w:themeColor="text1"/>
                <w:sz w:val="20"/>
                <w:szCs w:val="20"/>
              </w:rPr>
              <w:t>М</w:t>
            </w:r>
          </w:p>
        </w:tc>
      </w:tr>
      <w:tr w:rsidR="009764E8" w:rsidRPr="00AC7E60" w:rsidTr="002A4EDF">
        <w:trPr>
          <w:trHeight w:val="202"/>
          <w:tblCellSpacing w:w="15" w:type="dxa"/>
          <w:jc w:val="center"/>
        </w:trPr>
        <w:tc>
          <w:tcPr>
            <w:tcW w:w="0" w:type="auto"/>
            <w:shd w:val="clear" w:color="auto" w:fill="FFFFFF"/>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1.000.000</w:t>
            </w:r>
          </w:p>
        </w:tc>
        <w:tc>
          <w:tcPr>
            <w:tcW w:w="0" w:type="auto"/>
            <w:shd w:val="clear" w:color="auto" w:fill="FFFFFF"/>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500</w:t>
            </w:r>
          </w:p>
        </w:tc>
      </w:tr>
      <w:tr w:rsidR="009764E8" w:rsidRPr="00AC7E60" w:rsidTr="002A4EDF">
        <w:trPr>
          <w:trHeight w:val="152"/>
          <w:tblCellSpacing w:w="15" w:type="dxa"/>
          <w:jc w:val="center"/>
        </w:trPr>
        <w:tc>
          <w:tcPr>
            <w:tcW w:w="0" w:type="auto"/>
            <w:shd w:val="clear" w:color="auto" w:fill="FFFFFF"/>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from</w:t>
            </w:r>
            <w:r w:rsidR="009764E8" w:rsidRPr="00AC7E60">
              <w:rPr>
                <w:rFonts w:eastAsia="Times New Roman" w:cs="Times New Roman"/>
                <w:color w:val="000000" w:themeColor="text1"/>
                <w:sz w:val="20"/>
                <w:szCs w:val="20"/>
              </w:rPr>
              <w:t xml:space="preserve"> 1.000.001 </w:t>
            </w: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2.000.000</w:t>
            </w:r>
          </w:p>
        </w:tc>
        <w:tc>
          <w:tcPr>
            <w:tcW w:w="0" w:type="auto"/>
            <w:shd w:val="clear" w:color="auto" w:fill="FFFFFF"/>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1.000</w:t>
            </w:r>
          </w:p>
        </w:tc>
      </w:tr>
      <w:tr w:rsidR="009764E8" w:rsidRPr="00AC7E60" w:rsidTr="002A4EDF">
        <w:trPr>
          <w:tblCellSpacing w:w="15" w:type="dxa"/>
          <w:jc w:val="center"/>
        </w:trPr>
        <w:tc>
          <w:tcPr>
            <w:tcW w:w="0" w:type="auto"/>
            <w:shd w:val="clear" w:color="auto" w:fill="FFFFFF"/>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from</w:t>
            </w:r>
            <w:r w:rsidR="009764E8" w:rsidRPr="00AC7E60">
              <w:rPr>
                <w:rFonts w:eastAsia="Times New Roman" w:cs="Times New Roman"/>
                <w:color w:val="000000" w:themeColor="text1"/>
                <w:sz w:val="20"/>
                <w:szCs w:val="20"/>
              </w:rPr>
              <w:t xml:space="preserve"> 2.000.001 </w:t>
            </w: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5.000.000</w:t>
            </w:r>
          </w:p>
        </w:tc>
        <w:tc>
          <w:tcPr>
            <w:tcW w:w="0" w:type="auto"/>
            <w:shd w:val="clear" w:color="auto" w:fill="FFFFFF"/>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1.500</w:t>
            </w:r>
          </w:p>
        </w:tc>
      </w:tr>
      <w:tr w:rsidR="009764E8" w:rsidRPr="00AC7E60" w:rsidTr="002A4EDF">
        <w:trPr>
          <w:tblCellSpacing w:w="15" w:type="dxa"/>
          <w:jc w:val="center"/>
        </w:trPr>
        <w:tc>
          <w:tcPr>
            <w:tcW w:w="0" w:type="auto"/>
            <w:shd w:val="clear" w:color="auto" w:fill="FFFFFF"/>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from</w:t>
            </w:r>
            <w:r w:rsidR="009764E8" w:rsidRPr="00AC7E60">
              <w:rPr>
                <w:rFonts w:eastAsia="Times New Roman" w:cs="Times New Roman"/>
                <w:color w:val="000000" w:themeColor="text1"/>
                <w:sz w:val="20"/>
                <w:szCs w:val="20"/>
              </w:rPr>
              <w:t xml:space="preserve"> 5.000.001 </w:t>
            </w: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10.000.000</w:t>
            </w:r>
          </w:p>
        </w:tc>
        <w:tc>
          <w:tcPr>
            <w:tcW w:w="0" w:type="auto"/>
            <w:shd w:val="clear" w:color="auto" w:fill="FFFFFF"/>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3.000</w:t>
            </w:r>
          </w:p>
        </w:tc>
      </w:tr>
      <w:tr w:rsidR="009764E8" w:rsidRPr="00AC7E60" w:rsidTr="002A4EDF">
        <w:trPr>
          <w:tblCellSpacing w:w="15" w:type="dxa"/>
          <w:jc w:val="center"/>
        </w:trPr>
        <w:tc>
          <w:tcPr>
            <w:tcW w:w="0" w:type="auto"/>
            <w:shd w:val="clear" w:color="auto" w:fill="FFFFFF"/>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from</w:t>
            </w:r>
            <w:r w:rsidR="009764E8" w:rsidRPr="00AC7E60">
              <w:rPr>
                <w:rFonts w:eastAsia="Times New Roman" w:cs="Times New Roman"/>
                <w:color w:val="000000" w:themeColor="text1"/>
                <w:sz w:val="20"/>
                <w:szCs w:val="20"/>
              </w:rPr>
              <w:t xml:space="preserve"> 10.000.001 </w:t>
            </w: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50.000.000</w:t>
            </w:r>
          </w:p>
        </w:tc>
        <w:tc>
          <w:tcPr>
            <w:tcW w:w="0" w:type="auto"/>
            <w:shd w:val="clear" w:color="auto" w:fill="FFFFFF"/>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6.000</w:t>
            </w:r>
          </w:p>
        </w:tc>
      </w:tr>
      <w:tr w:rsidR="009764E8" w:rsidRPr="00AC7E60" w:rsidTr="002A4EDF">
        <w:trPr>
          <w:tblCellSpacing w:w="15" w:type="dxa"/>
          <w:jc w:val="center"/>
        </w:trPr>
        <w:tc>
          <w:tcPr>
            <w:tcW w:w="0" w:type="auto"/>
            <w:shd w:val="clear" w:color="auto" w:fill="FFFFFF"/>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lang w:val="bs-Cyrl-BA"/>
              </w:rPr>
              <w:t>from</w:t>
            </w:r>
            <w:r w:rsidR="009764E8" w:rsidRPr="00AC7E60">
              <w:rPr>
                <w:rFonts w:eastAsia="Times New Roman" w:cs="Times New Roman"/>
                <w:color w:val="000000" w:themeColor="text1"/>
                <w:sz w:val="20"/>
                <w:szCs w:val="20"/>
              </w:rPr>
              <w:t xml:space="preserve"> 50.000.001 </w:t>
            </w:r>
            <w:r w:rsidRPr="00AC7E60">
              <w:rPr>
                <w:rFonts w:eastAsia="Times New Roman" w:cs="Times New Roman"/>
                <w:color w:val="000000" w:themeColor="text1"/>
                <w:sz w:val="20"/>
                <w:szCs w:val="20"/>
                <w:lang w:val="bs-Cyrl-BA"/>
              </w:rPr>
              <w:t>up to</w:t>
            </w:r>
            <w:r w:rsidR="009764E8" w:rsidRPr="00AC7E60">
              <w:rPr>
                <w:rFonts w:eastAsia="Times New Roman" w:cs="Times New Roman"/>
                <w:color w:val="000000" w:themeColor="text1"/>
                <w:sz w:val="20"/>
                <w:szCs w:val="20"/>
              </w:rPr>
              <w:t xml:space="preserve"> 100.000.000</w:t>
            </w:r>
          </w:p>
        </w:tc>
        <w:tc>
          <w:tcPr>
            <w:tcW w:w="0" w:type="auto"/>
            <w:shd w:val="clear" w:color="auto" w:fill="FFFFFF"/>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8.000</w:t>
            </w:r>
          </w:p>
        </w:tc>
      </w:tr>
      <w:tr w:rsidR="009764E8" w:rsidRPr="00AC7E60" w:rsidTr="002A4EDF">
        <w:trPr>
          <w:tblCellSpacing w:w="15" w:type="dxa"/>
          <w:jc w:val="center"/>
        </w:trPr>
        <w:tc>
          <w:tcPr>
            <w:tcW w:w="0" w:type="auto"/>
            <w:shd w:val="clear" w:color="auto" w:fill="FFFFFF"/>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 xml:space="preserve">over </w:t>
            </w:r>
            <w:r w:rsidR="009764E8" w:rsidRPr="00AC7E60">
              <w:rPr>
                <w:rFonts w:eastAsia="Times New Roman" w:cs="Times New Roman"/>
                <w:color w:val="000000" w:themeColor="text1"/>
                <w:sz w:val="20"/>
                <w:szCs w:val="20"/>
              </w:rPr>
              <w:t xml:space="preserve"> 100.000.000</w:t>
            </w:r>
          </w:p>
        </w:tc>
        <w:tc>
          <w:tcPr>
            <w:tcW w:w="0" w:type="auto"/>
            <w:shd w:val="clear" w:color="auto" w:fill="FFFFFF"/>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10.000</w:t>
            </w:r>
          </w:p>
        </w:tc>
      </w:tr>
    </w:tbl>
    <w:p w:rsidR="003066D2" w:rsidRPr="00AC7E60" w:rsidRDefault="003066D2" w:rsidP="00044557">
      <w:pPr>
        <w:spacing w:after="0" w:line="240" w:lineRule="auto"/>
        <w:rPr>
          <w:rFonts w:cs="Times New Roman"/>
          <w:color w:val="000000" w:themeColor="text1"/>
          <w:sz w:val="20"/>
          <w:szCs w:val="20"/>
        </w:rPr>
      </w:pPr>
    </w:p>
    <w:p w:rsidR="003066D2"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The annual fee for the stock in the free market:</w:t>
      </w:r>
    </w:p>
    <w:p w:rsidR="00076731" w:rsidRPr="00AC7E60" w:rsidRDefault="00076731" w:rsidP="00044557">
      <w:pPr>
        <w:spacing w:after="0" w:line="240" w:lineRule="auto"/>
        <w:rPr>
          <w:rFonts w:cs="Times New Roman"/>
          <w:color w:val="000000" w:themeColor="text1"/>
          <w:sz w:val="20"/>
          <w:szCs w:val="20"/>
        </w:rPr>
      </w:pPr>
    </w:p>
    <w:tbl>
      <w:tblPr>
        <w:tblW w:w="6000" w:type="dxa"/>
        <w:jc w:val="center"/>
        <w:tblCellSpacing w:w="15" w:type="dxa"/>
        <w:tblBorders>
          <w:top w:val="threeDEngrave" w:sz="6" w:space="0" w:color="808080"/>
          <w:left w:val="threeDEngrave" w:sz="6" w:space="0" w:color="808080"/>
          <w:bottom w:val="threeDEngrave" w:sz="6" w:space="0" w:color="808080"/>
          <w:right w:val="threeDEngrave" w:sz="6" w:space="0" w:color="808080"/>
        </w:tblBorders>
        <w:shd w:val="clear" w:color="auto" w:fill="FFFFFF"/>
        <w:tblCellMar>
          <w:top w:w="75" w:type="dxa"/>
          <w:left w:w="75" w:type="dxa"/>
          <w:bottom w:w="75" w:type="dxa"/>
          <w:right w:w="75" w:type="dxa"/>
        </w:tblCellMar>
        <w:tblLook w:val="04A0"/>
      </w:tblPr>
      <w:tblGrid>
        <w:gridCol w:w="4275"/>
        <w:gridCol w:w="1725"/>
      </w:tblGrid>
      <w:tr w:rsidR="009764E8" w:rsidRPr="00AC7E60" w:rsidTr="002A4EDF">
        <w:trPr>
          <w:tblCellSpacing w:w="15" w:type="dxa"/>
          <w:jc w:val="center"/>
        </w:trPr>
        <w:tc>
          <w:tcPr>
            <w:tcW w:w="0" w:type="auto"/>
            <w:shd w:val="clear" w:color="auto" w:fill="FFFFFF"/>
            <w:noWrap/>
            <w:tcMar>
              <w:top w:w="120" w:type="dxa"/>
              <w:left w:w="75" w:type="dxa"/>
              <w:bottom w:w="120" w:type="dxa"/>
              <w:right w:w="75" w:type="dxa"/>
            </w:tcMar>
            <w:vAlign w:val="bottom"/>
            <w:hideMark/>
          </w:tcPr>
          <w:p w:rsidR="009764E8" w:rsidRPr="00AC7E60" w:rsidRDefault="008F1C0A" w:rsidP="00044557">
            <w:pPr>
              <w:spacing w:after="0" w:line="240" w:lineRule="auto"/>
              <w:rPr>
                <w:rFonts w:eastAsia="Times New Roman" w:cs="Times New Roman"/>
                <w:b/>
                <w:bCs/>
                <w:color w:val="000000" w:themeColor="text1"/>
                <w:sz w:val="20"/>
                <w:szCs w:val="20"/>
              </w:rPr>
            </w:pPr>
            <w:r w:rsidRPr="00AC7E60">
              <w:rPr>
                <w:rFonts w:eastAsia="Times New Roman" w:cs="Times New Roman"/>
                <w:b/>
                <w:bCs/>
                <w:color w:val="000000" w:themeColor="text1"/>
                <w:sz w:val="20"/>
                <w:szCs w:val="20"/>
              </w:rPr>
              <w:t>Total capital of the issuer in BAM</w:t>
            </w:r>
          </w:p>
        </w:tc>
        <w:tc>
          <w:tcPr>
            <w:tcW w:w="0" w:type="auto"/>
            <w:shd w:val="clear" w:color="auto" w:fill="FFFFFF"/>
            <w:noWrap/>
            <w:tcMar>
              <w:top w:w="120" w:type="dxa"/>
              <w:left w:w="75" w:type="dxa"/>
              <w:bottom w:w="120" w:type="dxa"/>
              <w:right w:w="75" w:type="dxa"/>
            </w:tcMar>
            <w:vAlign w:val="bottom"/>
            <w:hideMark/>
          </w:tcPr>
          <w:p w:rsidR="009764E8" w:rsidRPr="00AC7E60" w:rsidRDefault="008F1C0A" w:rsidP="00044557">
            <w:pPr>
              <w:spacing w:after="0" w:line="240" w:lineRule="auto"/>
              <w:rPr>
                <w:rFonts w:eastAsia="Times New Roman" w:cs="Times New Roman"/>
                <w:b/>
                <w:bCs/>
                <w:color w:val="000000" w:themeColor="text1"/>
                <w:sz w:val="20"/>
                <w:szCs w:val="20"/>
              </w:rPr>
            </w:pPr>
            <w:r w:rsidRPr="00AC7E60">
              <w:rPr>
                <w:rFonts w:eastAsia="Times New Roman" w:cs="Times New Roman"/>
                <w:b/>
                <w:bCs/>
                <w:color w:val="000000" w:themeColor="text1"/>
                <w:sz w:val="20"/>
                <w:szCs w:val="20"/>
              </w:rPr>
              <w:t>Fee in BA</w:t>
            </w:r>
            <w:r w:rsidR="009764E8" w:rsidRPr="00AC7E60">
              <w:rPr>
                <w:rFonts w:eastAsia="Times New Roman" w:cs="Times New Roman"/>
                <w:b/>
                <w:bCs/>
                <w:color w:val="000000" w:themeColor="text1"/>
                <w:sz w:val="20"/>
                <w:szCs w:val="20"/>
              </w:rPr>
              <w:t>М</w:t>
            </w:r>
          </w:p>
        </w:tc>
      </w:tr>
      <w:tr w:rsidR="009764E8" w:rsidRPr="00AC7E60" w:rsidTr="002A4EDF">
        <w:trPr>
          <w:tblCellSpacing w:w="15" w:type="dxa"/>
          <w:jc w:val="center"/>
        </w:trPr>
        <w:tc>
          <w:tcPr>
            <w:tcW w:w="0" w:type="auto"/>
            <w:shd w:val="clear" w:color="auto" w:fill="FFFFFF"/>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up to</w:t>
            </w:r>
            <w:r w:rsidR="009764E8" w:rsidRPr="00AC7E60">
              <w:rPr>
                <w:rFonts w:eastAsia="Times New Roman" w:cs="Times New Roman"/>
                <w:color w:val="000000" w:themeColor="text1"/>
                <w:sz w:val="20"/>
                <w:szCs w:val="20"/>
              </w:rPr>
              <w:t xml:space="preserve"> 10.000.000</w:t>
            </w:r>
          </w:p>
        </w:tc>
        <w:tc>
          <w:tcPr>
            <w:tcW w:w="0" w:type="auto"/>
            <w:shd w:val="clear" w:color="auto" w:fill="FFFFFF"/>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200</w:t>
            </w:r>
          </w:p>
        </w:tc>
      </w:tr>
      <w:tr w:rsidR="009764E8" w:rsidRPr="00AC7E60" w:rsidTr="002A4EDF">
        <w:trPr>
          <w:tblCellSpacing w:w="15" w:type="dxa"/>
          <w:jc w:val="center"/>
        </w:trPr>
        <w:tc>
          <w:tcPr>
            <w:tcW w:w="0" w:type="auto"/>
            <w:shd w:val="clear" w:color="auto" w:fill="FFFFFF"/>
            <w:vAlign w:val="center"/>
            <w:hideMark/>
          </w:tcPr>
          <w:p w:rsidR="009764E8" w:rsidRPr="00AC7E60" w:rsidRDefault="008F1C0A"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over</w:t>
            </w:r>
            <w:r w:rsidR="009764E8" w:rsidRPr="00AC7E60">
              <w:rPr>
                <w:rFonts w:eastAsia="Times New Roman" w:cs="Times New Roman"/>
                <w:color w:val="000000" w:themeColor="text1"/>
                <w:sz w:val="20"/>
                <w:szCs w:val="20"/>
              </w:rPr>
              <w:t xml:space="preserve"> 10.000.000</w:t>
            </w:r>
          </w:p>
        </w:tc>
        <w:tc>
          <w:tcPr>
            <w:tcW w:w="0" w:type="auto"/>
            <w:shd w:val="clear" w:color="auto" w:fill="FFFFFF"/>
            <w:vAlign w:val="center"/>
            <w:hideMark/>
          </w:tcPr>
          <w:p w:rsidR="009764E8" w:rsidRPr="00AC7E60" w:rsidRDefault="009764E8" w:rsidP="00044557">
            <w:pPr>
              <w:spacing w:after="0" w:line="240" w:lineRule="auto"/>
              <w:rPr>
                <w:rFonts w:eastAsia="Times New Roman" w:cs="Times New Roman"/>
                <w:color w:val="000000" w:themeColor="text1"/>
                <w:sz w:val="20"/>
                <w:szCs w:val="20"/>
              </w:rPr>
            </w:pPr>
            <w:r w:rsidRPr="00AC7E60">
              <w:rPr>
                <w:rFonts w:eastAsia="Times New Roman" w:cs="Times New Roman"/>
                <w:color w:val="000000" w:themeColor="text1"/>
                <w:sz w:val="20"/>
                <w:szCs w:val="20"/>
              </w:rPr>
              <w:t>500</w:t>
            </w:r>
          </w:p>
        </w:tc>
      </w:tr>
    </w:tbl>
    <w:p w:rsidR="003066D2" w:rsidRPr="00AC7E60" w:rsidRDefault="003066D2" w:rsidP="00044557">
      <w:pPr>
        <w:spacing w:after="0" w:line="240" w:lineRule="auto"/>
        <w:rPr>
          <w:rFonts w:cs="Times New Roman"/>
          <w:color w:val="000000" w:themeColor="text1"/>
          <w:sz w:val="20"/>
          <w:szCs w:val="20"/>
        </w:rPr>
      </w:pPr>
    </w:p>
    <w:p w:rsidR="003066D2" w:rsidRPr="00AC7E60" w:rsidRDefault="003066D2"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 xml:space="preserve">The annual fee for the trade of the bonds in the free market is 200 </w:t>
      </w:r>
      <w:r w:rsidR="003F7837" w:rsidRPr="00AC7E60">
        <w:rPr>
          <w:rFonts w:cs="Times New Roman"/>
          <w:color w:val="000000" w:themeColor="text1"/>
          <w:sz w:val="20"/>
          <w:szCs w:val="20"/>
        </w:rPr>
        <w:t>BA</w:t>
      </w:r>
      <w:r w:rsidRPr="00AC7E60">
        <w:rPr>
          <w:rFonts w:cs="Times New Roman"/>
          <w:color w:val="000000" w:themeColor="text1"/>
          <w:sz w:val="20"/>
          <w:szCs w:val="20"/>
        </w:rPr>
        <w:t>M.</w:t>
      </w:r>
    </w:p>
    <w:p w:rsidR="0015309F" w:rsidRPr="00AC7E60" w:rsidRDefault="0015309F" w:rsidP="00044557">
      <w:pPr>
        <w:spacing w:after="0" w:line="240" w:lineRule="auto"/>
        <w:rPr>
          <w:rFonts w:cs="Times New Roman"/>
          <w:color w:val="000000" w:themeColor="text1"/>
          <w:sz w:val="20"/>
          <w:szCs w:val="20"/>
        </w:rPr>
      </w:pPr>
    </w:p>
    <w:p w:rsidR="00920F92" w:rsidRPr="00AC7E60" w:rsidRDefault="00A91D7C" w:rsidP="00044557">
      <w:pPr>
        <w:pStyle w:val="Heading1"/>
        <w:spacing w:before="0" w:line="240" w:lineRule="auto"/>
        <w:jc w:val="both"/>
        <w:rPr>
          <w:rFonts w:cs="Times New Roman"/>
          <w:sz w:val="20"/>
          <w:szCs w:val="20"/>
        </w:rPr>
      </w:pPr>
      <w:bookmarkStart w:id="13" w:name="_Toc477017182"/>
      <w:bookmarkStart w:id="14" w:name="_Toc465805974"/>
      <w:r w:rsidRPr="00AC7E60">
        <w:rPr>
          <w:rFonts w:cs="Times New Roman"/>
          <w:sz w:val="20"/>
          <w:szCs w:val="20"/>
        </w:rPr>
        <w:t>4. T</w:t>
      </w:r>
      <w:bookmarkStart w:id="15" w:name="_GoBack"/>
      <w:r w:rsidR="00C46596" w:rsidRPr="00AC7E60">
        <w:rPr>
          <w:rFonts w:cs="Times New Roman"/>
          <w:sz w:val="20"/>
          <w:szCs w:val="20"/>
        </w:rPr>
        <w:t>HE</w:t>
      </w:r>
      <w:bookmarkEnd w:id="15"/>
      <w:r w:rsidRPr="00AC7E60">
        <w:rPr>
          <w:rFonts w:cs="Times New Roman"/>
          <w:sz w:val="20"/>
          <w:szCs w:val="20"/>
        </w:rPr>
        <w:t xml:space="preserve"> COMPARISON WITH THE SARAJEVO STOCK EXCHANGE</w:t>
      </w:r>
      <w:bookmarkEnd w:id="13"/>
    </w:p>
    <w:p w:rsidR="00702B07" w:rsidRPr="00AC7E60" w:rsidRDefault="00702B07" w:rsidP="00044557">
      <w:pPr>
        <w:spacing w:after="0" w:line="240" w:lineRule="auto"/>
        <w:rPr>
          <w:rFonts w:cs="Times New Roman"/>
          <w:sz w:val="20"/>
          <w:szCs w:val="20"/>
          <w:lang w:val="bs-Cyrl-BA"/>
        </w:rPr>
      </w:pPr>
    </w:p>
    <w:p w:rsidR="00702B07" w:rsidRPr="00AC7E60" w:rsidRDefault="0015309F" w:rsidP="00044557">
      <w:pPr>
        <w:spacing w:after="0" w:line="240" w:lineRule="auto"/>
        <w:rPr>
          <w:rFonts w:cs="Times New Roman"/>
          <w:sz w:val="20"/>
          <w:szCs w:val="20"/>
        </w:rPr>
      </w:pPr>
      <w:r w:rsidRPr="00AC7E60">
        <w:rPr>
          <w:rFonts w:cs="Times New Roman"/>
          <w:sz w:val="20"/>
          <w:szCs w:val="20"/>
        </w:rPr>
        <w:t>Banja Luka, Sarajevo and Vienna Stock Exchange signed a tender 05.11.2009. on the basis of which the Vienna Stock Exchange will create, calculate and publish an index that includes shares from Banja Luka and Sarajevo Stock Exchange. Index name is: BATX (Batex) - Bosnian traded index. BATX includes six most liquid stocks, two from Banja Luka and four from the Sarajevo Stock Exchange. The shares of Telekom Srpske a.d. have the highest share in the initial composition of the index. Banja Luka, and beside Telekom Srpske, from the Banja Luka Stock Exchange, the shares of Nova banka from Banja Luka are included in the index.</w:t>
      </w:r>
    </w:p>
    <w:p w:rsidR="00BC213C" w:rsidRPr="00AC7E60" w:rsidRDefault="00BC213C" w:rsidP="00044557">
      <w:pPr>
        <w:spacing w:after="0" w:line="240" w:lineRule="auto"/>
        <w:rPr>
          <w:rFonts w:cs="Times New Roman"/>
          <w:sz w:val="20"/>
          <w:szCs w:val="20"/>
        </w:rPr>
      </w:pPr>
      <w:r w:rsidRPr="00AC7E60">
        <w:rPr>
          <w:rFonts w:cs="Times New Roman"/>
          <w:sz w:val="20"/>
          <w:szCs w:val="20"/>
        </w:rPr>
        <w:t>BATX is the first "investment" index calculated for shares listed on the Banja Luka and Sarajevo Stock Exchange, ie the index will be able to serve as a basis for the creation of derivative securities (structured products, futures and options). The index is calculated and published in real time, in three currencies, (BAM, EUR and USD). BATX will further increase the visibility of the capital markets of the Republic of Srpska and Bosnia and Herzegovina with international investors, and enable them to invest in Banja Luka and Sarajevo Stock Exchange. The index is calculated and published as of  December 1, 2009.</w:t>
      </w:r>
    </w:p>
    <w:p w:rsidR="00EF2375" w:rsidRDefault="00BC213C" w:rsidP="00044557">
      <w:pPr>
        <w:spacing w:after="0" w:line="240" w:lineRule="auto"/>
        <w:rPr>
          <w:rFonts w:cs="Times New Roman"/>
          <w:sz w:val="20"/>
          <w:szCs w:val="20"/>
        </w:rPr>
      </w:pPr>
      <w:r w:rsidRPr="00AC7E60">
        <w:rPr>
          <w:rFonts w:cs="Times New Roman"/>
          <w:sz w:val="20"/>
          <w:szCs w:val="20"/>
        </w:rPr>
        <w:t>In 2015, the total turnover of BAM 1,219,583,580.59 was realized on the Sarajevo Stock Exchange, which makes 68.57% of the total turnover realized on the BH stock exchanges. Within 7,015 transactions, 35,718,506 securities were traded. Using the infrastructure of the Sarajevo Stock Exchange - the stock exchanges in this year, 24 public offers have been successfully concluded, in the total amount of 615.302.962,73 BAM.</w:t>
      </w:r>
    </w:p>
    <w:p w:rsidR="00AC7E60" w:rsidRPr="00076731" w:rsidRDefault="008C35A7" w:rsidP="00044557">
      <w:pPr>
        <w:spacing w:after="0" w:line="240" w:lineRule="auto"/>
        <w:rPr>
          <w:rFonts w:cs="Times New Roman"/>
          <w:sz w:val="20"/>
          <w:szCs w:val="20"/>
        </w:rPr>
      </w:pPr>
      <w:r>
        <w:rPr>
          <w:rFonts w:cs="Times New Roman"/>
          <w:noProof/>
          <w:sz w:val="20"/>
          <w:szCs w:val="20"/>
        </w:rPr>
        <w:pict>
          <v:shape id="_x0000_s1027" type="#_x0000_t202" style="position:absolute;left:0;text-align:left;margin-left:2.45pt;margin-top:3.5pt;width:369.8pt;height:37.65pt;z-index:251659264" fillcolor="white [3212]" strokecolor="white [3212]">
            <v:textbox>
              <w:txbxContent>
                <w:tbl>
                  <w:tblPr>
                    <w:tblStyle w:val="TableGrid"/>
                    <w:tblW w:w="0" w:type="auto"/>
                    <w:tblInd w:w="-34" w:type="dxa"/>
                    <w:tblLook w:val="04A0"/>
                  </w:tblPr>
                  <w:tblGrid>
                    <w:gridCol w:w="1418"/>
                    <w:gridCol w:w="1559"/>
                    <w:gridCol w:w="1609"/>
                    <w:gridCol w:w="1678"/>
                    <w:gridCol w:w="1078"/>
                  </w:tblGrid>
                  <w:tr w:rsidR="00EF2375" w:rsidTr="00EF2375">
                    <w:trPr>
                      <w:trHeight w:val="540"/>
                    </w:trPr>
                    <w:tc>
                      <w:tcPr>
                        <w:tcW w:w="1418" w:type="dxa"/>
                        <w:vAlign w:val="center"/>
                      </w:tcPr>
                      <w:p w:rsidR="00EF2375" w:rsidRDefault="00EF2375" w:rsidP="00EF2375">
                        <w:pPr>
                          <w:jc w:val="left"/>
                          <w:rPr>
                            <w:rFonts w:cs="Times New Roman"/>
                            <w:sz w:val="20"/>
                            <w:szCs w:val="20"/>
                          </w:rPr>
                        </w:pPr>
                        <w:r>
                          <w:rPr>
                            <w:rFonts w:cs="Times New Roman"/>
                            <w:sz w:val="20"/>
                            <w:szCs w:val="20"/>
                          </w:rPr>
                          <w:t>Moon</w:t>
                        </w:r>
                      </w:p>
                    </w:tc>
                    <w:tc>
                      <w:tcPr>
                        <w:tcW w:w="1559" w:type="dxa"/>
                        <w:vAlign w:val="center"/>
                      </w:tcPr>
                      <w:p w:rsidR="00EF2375" w:rsidRDefault="00EF2375" w:rsidP="00EF2375">
                        <w:pPr>
                          <w:jc w:val="left"/>
                          <w:rPr>
                            <w:rFonts w:cs="Times New Roman"/>
                            <w:sz w:val="20"/>
                            <w:szCs w:val="20"/>
                          </w:rPr>
                        </w:pPr>
                        <w:r>
                          <w:rPr>
                            <w:rFonts w:cs="Times New Roman"/>
                            <w:sz w:val="20"/>
                            <w:szCs w:val="20"/>
                          </w:rPr>
                          <w:t>Traffic (KM)</w:t>
                        </w:r>
                      </w:p>
                    </w:tc>
                    <w:tc>
                      <w:tcPr>
                        <w:tcW w:w="1609" w:type="dxa"/>
                        <w:vAlign w:val="center"/>
                      </w:tcPr>
                      <w:p w:rsidR="00EF2375" w:rsidRDefault="00EF2375" w:rsidP="00EF2375">
                        <w:pPr>
                          <w:jc w:val="left"/>
                          <w:rPr>
                            <w:rFonts w:cs="Times New Roman"/>
                            <w:sz w:val="20"/>
                            <w:szCs w:val="20"/>
                          </w:rPr>
                        </w:pPr>
                        <w:r>
                          <w:rPr>
                            <w:rFonts w:cs="Times New Roman"/>
                            <w:sz w:val="20"/>
                            <w:szCs w:val="20"/>
                          </w:rPr>
                          <w:t>Number of TS</w:t>
                        </w:r>
                      </w:p>
                    </w:tc>
                    <w:tc>
                      <w:tcPr>
                        <w:tcW w:w="1678" w:type="dxa"/>
                        <w:vAlign w:val="center"/>
                      </w:tcPr>
                      <w:p w:rsidR="00EF2375" w:rsidRDefault="00EF2375" w:rsidP="00EF2375">
                        <w:pPr>
                          <w:jc w:val="left"/>
                          <w:rPr>
                            <w:rFonts w:cs="Times New Roman"/>
                            <w:sz w:val="20"/>
                            <w:szCs w:val="20"/>
                          </w:rPr>
                        </w:pPr>
                        <w:r>
                          <w:rPr>
                            <w:rFonts w:cs="Times New Roman"/>
                            <w:sz w:val="20"/>
                            <w:szCs w:val="20"/>
                          </w:rPr>
                          <w:t>Number of transactions</w:t>
                        </w:r>
                      </w:p>
                    </w:tc>
                    <w:tc>
                      <w:tcPr>
                        <w:tcW w:w="1078" w:type="dxa"/>
                        <w:vAlign w:val="center"/>
                      </w:tcPr>
                      <w:p w:rsidR="00EF2375" w:rsidRDefault="00EF2375" w:rsidP="00EF2375">
                        <w:pPr>
                          <w:jc w:val="left"/>
                          <w:rPr>
                            <w:rFonts w:cs="Times New Roman"/>
                            <w:sz w:val="20"/>
                            <w:szCs w:val="20"/>
                          </w:rPr>
                        </w:pPr>
                        <w:r w:rsidRPr="00044557">
                          <w:rPr>
                            <w:rFonts w:cs="Times New Roman"/>
                            <w:sz w:val="20"/>
                            <w:szCs w:val="20"/>
                          </w:rPr>
                          <w:t>% of total traffic</w:t>
                        </w:r>
                      </w:p>
                    </w:tc>
                  </w:tr>
                </w:tbl>
                <w:p w:rsidR="00EF2375" w:rsidRDefault="00EF2375"/>
              </w:txbxContent>
            </v:textbox>
          </v:shape>
        </w:pict>
      </w:r>
      <w:r w:rsidR="009764E8" w:rsidRPr="00AC7E60">
        <w:rPr>
          <w:rFonts w:cs="Times New Roman"/>
          <w:noProof/>
          <w:sz w:val="20"/>
          <w:szCs w:val="20"/>
        </w:rPr>
        <w:drawing>
          <wp:inline distT="0" distB="0" distL="0" distR="0">
            <wp:extent cx="4754880" cy="3002280"/>
            <wp:effectExtent l="0" t="0" r="7620" b="7620"/>
            <wp:docPr id="4" name="Picture 1" descr="berz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za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002280"/>
                    </a:xfrm>
                    <a:prstGeom prst="rect">
                      <a:avLst/>
                    </a:prstGeom>
                    <a:noFill/>
                    <a:ln>
                      <a:noFill/>
                    </a:ln>
                  </pic:spPr>
                </pic:pic>
              </a:graphicData>
            </a:graphic>
          </wp:inline>
        </w:drawing>
      </w:r>
    </w:p>
    <w:p w:rsidR="00BC213C" w:rsidRDefault="00BC213C" w:rsidP="00EF2375">
      <w:pPr>
        <w:spacing w:before="120" w:after="0" w:line="240" w:lineRule="auto"/>
        <w:jc w:val="center"/>
        <w:rPr>
          <w:rFonts w:cs="Times New Roman"/>
          <w:i/>
          <w:sz w:val="20"/>
          <w:szCs w:val="20"/>
          <w:lang w:val="bs-Cyrl-BA"/>
        </w:rPr>
      </w:pPr>
      <w:r w:rsidRPr="00076731">
        <w:rPr>
          <w:rFonts w:cs="Times New Roman"/>
          <w:i/>
          <w:sz w:val="20"/>
          <w:szCs w:val="20"/>
          <w:lang w:val="bs-Cyrl-BA"/>
        </w:rPr>
        <w:t>Picture 2.Annual report of the Sarajevo Stock Exchange</w:t>
      </w:r>
    </w:p>
    <w:p w:rsidR="00076731" w:rsidRPr="00076731" w:rsidRDefault="00076731" w:rsidP="00EF2375">
      <w:pPr>
        <w:spacing w:after="240" w:line="240" w:lineRule="auto"/>
        <w:jc w:val="center"/>
        <w:rPr>
          <w:rFonts w:cs="Times New Roman"/>
          <w:sz w:val="20"/>
          <w:szCs w:val="20"/>
          <w:lang w:val="bs-Cyrl-BA"/>
        </w:rPr>
      </w:pPr>
      <w:r>
        <w:rPr>
          <w:rFonts w:cs="Times New Roman"/>
          <w:i/>
          <w:sz w:val="20"/>
          <w:szCs w:val="20"/>
        </w:rPr>
        <w:t xml:space="preserve">(Source: </w:t>
      </w:r>
      <w:hyperlink r:id="rId11" w:history="1">
        <w:r w:rsidRPr="008C27BE">
          <w:rPr>
            <w:rStyle w:val="Hyperlink"/>
            <w:rFonts w:cs="Times New Roman"/>
            <w:sz w:val="20"/>
            <w:szCs w:val="20"/>
            <w:lang w:val="bs-Cyrl-BA"/>
          </w:rPr>
          <w:t>http://www.sase.ba/v</w:t>
        </w:r>
      </w:hyperlink>
      <w:r w:rsidRPr="00076731">
        <w:rPr>
          <w:rFonts w:cs="Times New Roman"/>
          <w:sz w:val="20"/>
          <w:szCs w:val="20"/>
          <w:lang w:val="bs-Cyrl-BA"/>
        </w:rPr>
        <w:t>1</w:t>
      </w:r>
      <w:r>
        <w:rPr>
          <w:rFonts w:cs="Times New Roman"/>
          <w:i/>
          <w:sz w:val="20"/>
          <w:szCs w:val="20"/>
        </w:rPr>
        <w:t>)</w:t>
      </w:r>
    </w:p>
    <w:p w:rsidR="009764E8" w:rsidRPr="00AC7E60" w:rsidRDefault="009764E8" w:rsidP="00044557">
      <w:pPr>
        <w:pStyle w:val="NoSpacing"/>
        <w:rPr>
          <w:rFonts w:cs="Times New Roman"/>
          <w:sz w:val="20"/>
          <w:szCs w:val="20"/>
        </w:rPr>
      </w:pPr>
      <w:r w:rsidRPr="00AC7E60">
        <w:rPr>
          <w:rFonts w:cs="Times New Roman"/>
          <w:noProof/>
          <w:sz w:val="20"/>
          <w:szCs w:val="20"/>
        </w:rPr>
        <w:drawing>
          <wp:inline distT="0" distB="0" distL="0" distR="0">
            <wp:extent cx="5905500" cy="3200400"/>
            <wp:effectExtent l="0" t="0" r="0" b="0"/>
            <wp:docPr id="1" name="Picture 2" descr="berz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za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0" cy="3200400"/>
                    </a:xfrm>
                    <a:prstGeom prst="rect">
                      <a:avLst/>
                    </a:prstGeom>
                    <a:noFill/>
                    <a:ln>
                      <a:noFill/>
                    </a:ln>
                  </pic:spPr>
                </pic:pic>
              </a:graphicData>
            </a:graphic>
          </wp:inline>
        </w:drawing>
      </w:r>
    </w:p>
    <w:p w:rsidR="00076731" w:rsidRDefault="00BC213C" w:rsidP="00EF2375">
      <w:pPr>
        <w:pStyle w:val="NoSpacing"/>
        <w:spacing w:before="120"/>
        <w:jc w:val="center"/>
        <w:rPr>
          <w:rFonts w:cs="Times New Roman"/>
          <w:i/>
          <w:sz w:val="20"/>
          <w:szCs w:val="20"/>
        </w:rPr>
      </w:pPr>
      <w:r w:rsidRPr="00076731">
        <w:rPr>
          <w:rFonts w:cs="Times New Roman"/>
          <w:i/>
          <w:sz w:val="20"/>
          <w:szCs w:val="20"/>
        </w:rPr>
        <w:t>Picture 3. - Annual report of the Banja Luka Stock Exchange</w:t>
      </w:r>
    </w:p>
    <w:p w:rsidR="00BC213C" w:rsidRPr="00076731" w:rsidRDefault="00076731" w:rsidP="00EF2375">
      <w:pPr>
        <w:pStyle w:val="NoSpacing"/>
        <w:jc w:val="center"/>
        <w:rPr>
          <w:rFonts w:cs="Times New Roman"/>
          <w:i/>
          <w:sz w:val="20"/>
          <w:szCs w:val="20"/>
        </w:rPr>
      </w:pPr>
      <w:r>
        <w:rPr>
          <w:rFonts w:cs="Times New Roman"/>
          <w:i/>
          <w:sz w:val="20"/>
          <w:szCs w:val="20"/>
        </w:rPr>
        <w:t>(Source:</w:t>
      </w:r>
      <w:hyperlink r:id="rId13" w:history="1">
        <w:r w:rsidRPr="00076731">
          <w:rPr>
            <w:rStyle w:val="Hyperlink"/>
            <w:rFonts w:cs="Times New Roman"/>
            <w:sz w:val="20"/>
            <w:szCs w:val="20"/>
            <w:lang w:val="bs-Cyrl-BA"/>
          </w:rPr>
          <w:t>http://www.blberza.com/Pages/default.aspx</w:t>
        </w:r>
      </w:hyperlink>
      <w:r>
        <w:rPr>
          <w:rStyle w:val="Hyperlink"/>
          <w:rFonts w:cs="Times New Roman"/>
          <w:sz w:val="20"/>
          <w:szCs w:val="20"/>
        </w:rPr>
        <w:t>)</w:t>
      </w:r>
    </w:p>
    <w:p w:rsidR="009764E8" w:rsidRPr="00AC7E60" w:rsidRDefault="009764E8" w:rsidP="00044557">
      <w:pPr>
        <w:pStyle w:val="NoSpacing"/>
        <w:rPr>
          <w:rFonts w:cs="Times New Roman"/>
          <w:sz w:val="20"/>
          <w:szCs w:val="20"/>
        </w:rPr>
      </w:pPr>
      <w:r w:rsidRPr="00AC7E60">
        <w:rPr>
          <w:rFonts w:cs="Times New Roman"/>
          <w:noProof/>
          <w:sz w:val="20"/>
          <w:szCs w:val="20"/>
        </w:rPr>
        <w:drawing>
          <wp:inline distT="0" distB="0" distL="0" distR="0">
            <wp:extent cx="5943600" cy="2065020"/>
            <wp:effectExtent l="19050" t="0" r="0" b="0"/>
            <wp:docPr id="3" name="Picture 3" descr="berz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za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065020"/>
                    </a:xfrm>
                    <a:prstGeom prst="rect">
                      <a:avLst/>
                    </a:prstGeom>
                    <a:noFill/>
                    <a:ln>
                      <a:noFill/>
                    </a:ln>
                  </pic:spPr>
                </pic:pic>
              </a:graphicData>
            </a:graphic>
          </wp:inline>
        </w:drawing>
      </w:r>
    </w:p>
    <w:p w:rsidR="00076731" w:rsidRDefault="009764E8" w:rsidP="00044557">
      <w:pPr>
        <w:pStyle w:val="NoSpacing"/>
        <w:rPr>
          <w:rFonts w:cs="Times New Roman"/>
          <w:i/>
          <w:sz w:val="20"/>
          <w:szCs w:val="20"/>
        </w:rPr>
      </w:pPr>
      <w:r w:rsidRPr="00076731">
        <w:rPr>
          <w:rFonts w:cs="Times New Roman"/>
          <w:i/>
          <w:sz w:val="20"/>
          <w:szCs w:val="20"/>
        </w:rPr>
        <w:t>Picture 4. The total annual report of the Banja Luka Stock Exchange</w:t>
      </w:r>
    </w:p>
    <w:p w:rsidR="009764E8" w:rsidRPr="00076731" w:rsidRDefault="00076731" w:rsidP="00044557">
      <w:pPr>
        <w:pStyle w:val="NoSpacing"/>
        <w:rPr>
          <w:rFonts w:cs="Times New Roman"/>
          <w:i/>
          <w:sz w:val="20"/>
          <w:szCs w:val="20"/>
        </w:rPr>
      </w:pPr>
      <w:r>
        <w:rPr>
          <w:rFonts w:cs="Times New Roman"/>
          <w:i/>
          <w:sz w:val="20"/>
          <w:szCs w:val="20"/>
        </w:rPr>
        <w:t xml:space="preserve"> (Source: </w:t>
      </w:r>
      <w:hyperlink r:id="rId15" w:history="1">
        <w:r w:rsidRPr="00AC7E60">
          <w:rPr>
            <w:rStyle w:val="Hyperlink"/>
            <w:rFonts w:cs="Times New Roman"/>
            <w:sz w:val="20"/>
            <w:szCs w:val="20"/>
            <w:lang w:val="bs-Cyrl-BA"/>
          </w:rPr>
          <w:t>http://www.blberza.com/Pages/default.aspx</w:t>
        </w:r>
      </w:hyperlink>
      <w:r>
        <w:rPr>
          <w:rFonts w:cs="Times New Roman"/>
          <w:color w:val="000000" w:themeColor="text1"/>
          <w:sz w:val="20"/>
          <w:szCs w:val="20"/>
          <w:lang w:val="bs-Cyrl-BA"/>
        </w:rPr>
        <w:t>)</w:t>
      </w:r>
    </w:p>
    <w:p w:rsidR="00702B07" w:rsidRPr="00AC7E60" w:rsidRDefault="00702B07" w:rsidP="00044557">
      <w:pPr>
        <w:pStyle w:val="NoSpacing"/>
        <w:rPr>
          <w:rFonts w:cs="Times New Roman"/>
          <w:sz w:val="20"/>
          <w:szCs w:val="20"/>
        </w:rPr>
      </w:pPr>
    </w:p>
    <w:p w:rsidR="00A91D7C" w:rsidRPr="00AC7E60" w:rsidRDefault="00BC213C" w:rsidP="00044557">
      <w:pPr>
        <w:spacing w:after="0" w:line="240" w:lineRule="auto"/>
        <w:rPr>
          <w:rFonts w:cs="Times New Roman"/>
          <w:sz w:val="20"/>
          <w:szCs w:val="20"/>
        </w:rPr>
      </w:pPr>
      <w:r w:rsidRPr="00AC7E60">
        <w:rPr>
          <w:rFonts w:cs="Times New Roman"/>
          <w:sz w:val="20"/>
          <w:szCs w:val="20"/>
        </w:rPr>
        <w:t>From the information provided, we can see that the Sarajevo Stock Exchange achieved turnover twice higher than the Banja Luka Stock Exchange in 2015. Total turnover on the Banja Luka Stock Exchange in 2015 amounted to 560,606,603 convertible marks, while the turnover on the Sarajevo Stock Exchange amounted to 1,219,583,580.59  Convertible Marks.</w:t>
      </w:r>
    </w:p>
    <w:p w:rsidR="00BC213C" w:rsidRPr="00AC7E60" w:rsidRDefault="00BC213C" w:rsidP="00044557">
      <w:pPr>
        <w:spacing w:after="0" w:line="240" w:lineRule="auto"/>
        <w:rPr>
          <w:rFonts w:cs="Times New Roman"/>
          <w:sz w:val="20"/>
          <w:szCs w:val="20"/>
          <w:lang w:val="bs-Cyrl-BA"/>
        </w:rPr>
      </w:pPr>
    </w:p>
    <w:bookmarkEnd w:id="14"/>
    <w:p w:rsidR="003066D2" w:rsidRDefault="00BC213C" w:rsidP="00044557">
      <w:pPr>
        <w:spacing w:after="0" w:line="240" w:lineRule="auto"/>
        <w:rPr>
          <w:rFonts w:eastAsiaTheme="majorEastAsia" w:cs="Times New Roman"/>
          <w:b/>
          <w:bCs/>
          <w:color w:val="000000" w:themeColor="text1"/>
          <w:sz w:val="20"/>
          <w:szCs w:val="20"/>
        </w:rPr>
      </w:pPr>
      <w:r w:rsidRPr="00AC7E60">
        <w:rPr>
          <w:rFonts w:eastAsiaTheme="majorEastAsia" w:cs="Times New Roman"/>
          <w:b/>
          <w:bCs/>
          <w:color w:val="000000" w:themeColor="text1"/>
          <w:sz w:val="20"/>
          <w:szCs w:val="20"/>
        </w:rPr>
        <w:t xml:space="preserve"> 5. CONCLUSION</w:t>
      </w:r>
    </w:p>
    <w:p w:rsidR="00076731" w:rsidRPr="00AC7E60" w:rsidRDefault="00076731" w:rsidP="00044557">
      <w:pPr>
        <w:spacing w:after="0" w:line="240" w:lineRule="auto"/>
        <w:rPr>
          <w:rFonts w:cs="Times New Roman"/>
          <w:color w:val="000000" w:themeColor="text1"/>
          <w:sz w:val="20"/>
          <w:szCs w:val="20"/>
          <w:lang w:val="bs-Cyrl-BA"/>
        </w:rPr>
      </w:pPr>
    </w:p>
    <w:p w:rsidR="00BC213C" w:rsidRPr="00AC7E60" w:rsidRDefault="00BC213C"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Stock exchanges will be in the future and will be the place where the supply and demand relationship will be met, which can be expected to greatly improve their business through new information innovations achieved through software and hardware. Stock market and stock exchange operations are part of modern business. At the stock exchange it is important to make a good decision at the right time, which means a good business move. Whether the decision is correct is usually found later, but at some point it must be made.</w:t>
      </w:r>
    </w:p>
    <w:p w:rsidR="00A91D7C" w:rsidRPr="00AC7E60" w:rsidRDefault="00DD4896" w:rsidP="00044557">
      <w:pPr>
        <w:spacing w:after="0" w:line="240" w:lineRule="auto"/>
        <w:rPr>
          <w:rFonts w:cs="Times New Roman"/>
          <w:color w:val="000000" w:themeColor="text1"/>
          <w:sz w:val="20"/>
          <w:szCs w:val="20"/>
        </w:rPr>
      </w:pPr>
      <w:r w:rsidRPr="00AC7E60">
        <w:rPr>
          <w:rFonts w:cs="Times New Roman"/>
          <w:color w:val="000000" w:themeColor="text1"/>
          <w:sz w:val="20"/>
          <w:szCs w:val="20"/>
        </w:rPr>
        <w:t>Through the form of its stock market, the form of business changed, but the essence was the same. They were meeting offers and demand. At the present time, the stock market can serve as an indicator of potential new economic crises and bad business in the world. The Banja Luka Stock Exchange is a young stock exchange, which has greatly helped the development of the securities market in the Republic of Srpska and Bosnia and Herzegovina</w:t>
      </w:r>
      <w:r w:rsidR="00A91D7C" w:rsidRPr="00AC7E60">
        <w:rPr>
          <w:rFonts w:cs="Times New Roman"/>
          <w:color w:val="000000" w:themeColor="text1"/>
          <w:sz w:val="20"/>
          <w:szCs w:val="20"/>
        </w:rPr>
        <w:t>.</w:t>
      </w:r>
    </w:p>
    <w:p w:rsidR="00044557" w:rsidRDefault="00044557" w:rsidP="00044557">
      <w:pPr>
        <w:pStyle w:val="Heading1"/>
        <w:spacing w:before="0" w:line="240" w:lineRule="auto"/>
        <w:jc w:val="both"/>
        <w:rPr>
          <w:rFonts w:cs="Times New Roman"/>
          <w:sz w:val="20"/>
          <w:szCs w:val="20"/>
          <w:lang w:val="bs-Cyrl-BA"/>
        </w:rPr>
      </w:pPr>
    </w:p>
    <w:p w:rsidR="009764E8" w:rsidRPr="00044557" w:rsidRDefault="00044557" w:rsidP="00044557">
      <w:pPr>
        <w:pStyle w:val="Heading1"/>
        <w:spacing w:before="0" w:line="240" w:lineRule="auto"/>
        <w:jc w:val="both"/>
        <w:rPr>
          <w:rFonts w:cs="Times New Roman"/>
          <w:sz w:val="20"/>
          <w:szCs w:val="20"/>
        </w:rPr>
      </w:pPr>
      <w:r>
        <w:rPr>
          <w:rFonts w:cs="Times New Roman"/>
          <w:sz w:val="20"/>
          <w:szCs w:val="20"/>
        </w:rPr>
        <w:t>REFERENCES:</w:t>
      </w:r>
    </w:p>
    <w:p w:rsidR="009E0883" w:rsidRPr="00AC7E60" w:rsidRDefault="009E0883" w:rsidP="00044557">
      <w:pPr>
        <w:spacing w:after="0" w:line="240" w:lineRule="auto"/>
        <w:rPr>
          <w:rFonts w:cs="Times New Roman"/>
        </w:rPr>
      </w:pPr>
    </w:p>
    <w:p w:rsidR="009764E8" w:rsidRPr="00076731" w:rsidRDefault="00AC7E60" w:rsidP="00044557">
      <w:pPr>
        <w:pStyle w:val="ListParagraph"/>
        <w:numPr>
          <w:ilvl w:val="0"/>
          <w:numId w:val="23"/>
        </w:numPr>
        <w:tabs>
          <w:tab w:val="left" w:pos="284"/>
        </w:tabs>
        <w:spacing w:after="0" w:line="240" w:lineRule="auto"/>
        <w:ind w:left="0" w:firstLine="0"/>
        <w:rPr>
          <w:rFonts w:cs="Times New Roman"/>
          <w:color w:val="000000" w:themeColor="text1"/>
          <w:sz w:val="20"/>
          <w:szCs w:val="20"/>
          <w:lang w:val="bs-Cyrl-BA"/>
        </w:rPr>
      </w:pPr>
      <w:r w:rsidRPr="00076731">
        <w:rPr>
          <w:rFonts w:cs="Times New Roman"/>
          <w:color w:val="000000" w:themeColor="text1"/>
          <w:sz w:val="20"/>
          <w:szCs w:val="20"/>
          <w:lang w:val="bs-Cyrl-BA"/>
        </w:rPr>
        <w:t>ДОСТАНИЋ Г</w:t>
      </w:r>
      <w:r w:rsidR="00076731">
        <w:rPr>
          <w:rFonts w:cs="Times New Roman"/>
          <w:color w:val="000000" w:themeColor="text1"/>
          <w:sz w:val="20"/>
          <w:szCs w:val="20"/>
        </w:rPr>
        <w:t>.</w:t>
      </w:r>
      <w:r w:rsidRPr="00076731">
        <w:rPr>
          <w:rFonts w:cs="Times New Roman"/>
          <w:color w:val="000000" w:themeColor="text1"/>
          <w:sz w:val="20"/>
          <w:szCs w:val="20"/>
          <w:lang w:val="bs-Cyrl-BA"/>
        </w:rPr>
        <w:t xml:space="preserve">, </w:t>
      </w:r>
      <w:r w:rsidR="009764E8" w:rsidRPr="00044557">
        <w:rPr>
          <w:rFonts w:cs="Times New Roman"/>
          <w:i/>
          <w:color w:val="000000" w:themeColor="text1"/>
          <w:sz w:val="20"/>
          <w:szCs w:val="20"/>
          <w:lang w:val="bs-Cyrl-BA"/>
        </w:rPr>
        <w:t>Тржиште капитала</w:t>
      </w:r>
      <w:r w:rsidR="009764E8" w:rsidRPr="00044557">
        <w:rPr>
          <w:rFonts w:cs="Times New Roman"/>
          <w:color w:val="000000" w:themeColor="text1"/>
          <w:sz w:val="20"/>
          <w:szCs w:val="20"/>
          <w:lang w:val="bs-Cyrl-BA"/>
        </w:rPr>
        <w:t>,</w:t>
      </w:r>
      <w:r w:rsidR="009764E8" w:rsidRPr="00076731">
        <w:rPr>
          <w:rFonts w:cs="Times New Roman"/>
          <w:color w:val="000000" w:themeColor="text1"/>
          <w:sz w:val="20"/>
          <w:szCs w:val="20"/>
          <w:lang w:val="bs-Cyrl-BA"/>
        </w:rPr>
        <w:t xml:space="preserve"> Београдска пословна школа, Београд</w:t>
      </w:r>
      <w:r w:rsidR="00076731">
        <w:rPr>
          <w:rFonts w:cs="Times New Roman"/>
          <w:color w:val="000000" w:themeColor="text1"/>
          <w:sz w:val="20"/>
          <w:szCs w:val="20"/>
        </w:rPr>
        <w:t xml:space="preserve">, </w:t>
      </w:r>
      <w:r w:rsidR="00076731">
        <w:rPr>
          <w:rFonts w:cs="Times New Roman"/>
          <w:color w:val="000000" w:themeColor="text1"/>
          <w:sz w:val="20"/>
          <w:szCs w:val="20"/>
          <w:lang w:val="bs-Cyrl-BA"/>
        </w:rPr>
        <w:t>2007</w:t>
      </w:r>
      <w:r w:rsidR="00076731" w:rsidRPr="00076731">
        <w:rPr>
          <w:rFonts w:cs="Times New Roman"/>
          <w:color w:val="000000" w:themeColor="text1"/>
          <w:sz w:val="20"/>
          <w:szCs w:val="20"/>
          <w:lang w:val="bs-Cyrl-BA"/>
        </w:rPr>
        <w:t>,</w:t>
      </w:r>
      <w:r w:rsidR="009764E8" w:rsidRPr="00076731">
        <w:rPr>
          <w:rFonts w:cs="Times New Roman"/>
          <w:color w:val="000000" w:themeColor="text1"/>
          <w:sz w:val="20"/>
          <w:szCs w:val="20"/>
          <w:lang w:val="bs-Cyrl-BA"/>
        </w:rPr>
        <w:t>.</w:t>
      </w:r>
    </w:p>
    <w:p w:rsidR="009764E8" w:rsidRPr="00076731" w:rsidRDefault="00AC7E60" w:rsidP="00044557">
      <w:pPr>
        <w:pStyle w:val="ListParagraph"/>
        <w:numPr>
          <w:ilvl w:val="0"/>
          <w:numId w:val="23"/>
        </w:numPr>
        <w:tabs>
          <w:tab w:val="left" w:pos="284"/>
        </w:tabs>
        <w:spacing w:after="0" w:line="240" w:lineRule="auto"/>
        <w:ind w:left="0" w:firstLine="0"/>
        <w:rPr>
          <w:rFonts w:cs="Times New Roman"/>
          <w:color w:val="000000" w:themeColor="text1"/>
          <w:sz w:val="20"/>
          <w:szCs w:val="20"/>
          <w:lang w:val="bs-Cyrl-BA"/>
        </w:rPr>
      </w:pPr>
      <w:r w:rsidRPr="00076731">
        <w:rPr>
          <w:rFonts w:cs="Times New Roman"/>
          <w:color w:val="000000" w:themeColor="text1"/>
          <w:sz w:val="20"/>
          <w:szCs w:val="20"/>
          <w:lang w:val="bs-Cyrl-BA"/>
        </w:rPr>
        <w:t>БОГДАНОВИЋ М</w:t>
      </w:r>
      <w:r w:rsidR="00076731" w:rsidRPr="007F15E1">
        <w:rPr>
          <w:rFonts w:cs="Times New Roman"/>
          <w:color w:val="000000" w:themeColor="text1"/>
          <w:sz w:val="20"/>
          <w:szCs w:val="20"/>
          <w:lang w:val="bs-Cyrl-BA"/>
        </w:rPr>
        <w:t>.</w:t>
      </w:r>
      <w:r w:rsidRPr="00076731">
        <w:rPr>
          <w:rFonts w:cs="Times New Roman"/>
          <w:color w:val="000000" w:themeColor="text1"/>
          <w:sz w:val="20"/>
          <w:szCs w:val="20"/>
          <w:lang w:val="bs-Cyrl-BA"/>
        </w:rPr>
        <w:t>,ШЕСТОВИЋ Л</w:t>
      </w:r>
      <w:r w:rsidR="00076731" w:rsidRPr="007F15E1">
        <w:rPr>
          <w:rFonts w:cs="Times New Roman"/>
          <w:color w:val="000000" w:themeColor="text1"/>
          <w:sz w:val="20"/>
          <w:szCs w:val="20"/>
          <w:lang w:val="bs-Cyrl-BA"/>
        </w:rPr>
        <w:t>.</w:t>
      </w:r>
      <w:r w:rsidRPr="00076731">
        <w:rPr>
          <w:rFonts w:cs="Times New Roman"/>
          <w:color w:val="000000" w:themeColor="text1"/>
          <w:sz w:val="20"/>
          <w:szCs w:val="20"/>
          <w:lang w:val="bs-Cyrl-BA"/>
        </w:rPr>
        <w:t>,</w:t>
      </w:r>
      <w:r w:rsidR="009764E8" w:rsidRPr="00044557">
        <w:rPr>
          <w:rFonts w:cs="Times New Roman"/>
          <w:i/>
          <w:color w:val="000000" w:themeColor="text1"/>
          <w:sz w:val="20"/>
          <w:szCs w:val="20"/>
          <w:lang w:val="bs-Cyrl-BA"/>
        </w:rPr>
        <w:t>Економија од А до З</w:t>
      </w:r>
      <w:r w:rsidR="009764E8" w:rsidRPr="00044557">
        <w:rPr>
          <w:rFonts w:cs="Times New Roman"/>
          <w:color w:val="000000" w:themeColor="text1"/>
          <w:sz w:val="20"/>
          <w:szCs w:val="20"/>
          <w:lang w:val="bs-Cyrl-BA"/>
        </w:rPr>
        <w:t>,</w:t>
      </w:r>
      <w:r w:rsidR="009764E8" w:rsidRPr="00076731">
        <w:rPr>
          <w:rFonts w:cs="Times New Roman"/>
          <w:color w:val="000000" w:themeColor="text1"/>
          <w:sz w:val="20"/>
          <w:szCs w:val="20"/>
          <w:lang w:val="bs-Cyrl-BA"/>
        </w:rPr>
        <w:t xml:space="preserve"> Београдска отворена школа и Досије, Београд</w:t>
      </w:r>
      <w:r w:rsidR="00076731" w:rsidRPr="007F15E1">
        <w:rPr>
          <w:rFonts w:cs="Times New Roman"/>
          <w:color w:val="000000" w:themeColor="text1"/>
          <w:sz w:val="20"/>
          <w:szCs w:val="20"/>
          <w:lang w:val="bs-Cyrl-BA"/>
        </w:rPr>
        <w:t xml:space="preserve">, </w:t>
      </w:r>
      <w:r w:rsidR="00076731">
        <w:rPr>
          <w:rFonts w:cs="Times New Roman"/>
          <w:color w:val="000000" w:themeColor="text1"/>
          <w:sz w:val="20"/>
          <w:szCs w:val="20"/>
          <w:lang w:val="bs-Cyrl-BA"/>
        </w:rPr>
        <w:t>200.</w:t>
      </w:r>
      <w:r w:rsidR="00076731" w:rsidRPr="00076731">
        <w:rPr>
          <w:rFonts w:cs="Times New Roman"/>
          <w:color w:val="000000" w:themeColor="text1"/>
          <w:sz w:val="20"/>
          <w:szCs w:val="20"/>
          <w:lang w:val="bs-Cyrl-BA"/>
        </w:rPr>
        <w:t>,</w:t>
      </w:r>
    </w:p>
    <w:p w:rsidR="009764E8" w:rsidRPr="00076731" w:rsidRDefault="00AC7E60" w:rsidP="00044557">
      <w:pPr>
        <w:pStyle w:val="ListParagraph"/>
        <w:numPr>
          <w:ilvl w:val="0"/>
          <w:numId w:val="23"/>
        </w:numPr>
        <w:tabs>
          <w:tab w:val="left" w:pos="284"/>
        </w:tabs>
        <w:spacing w:after="0" w:line="240" w:lineRule="auto"/>
        <w:ind w:left="0" w:firstLine="0"/>
        <w:rPr>
          <w:rFonts w:cs="Times New Roman"/>
          <w:color w:val="000000" w:themeColor="text1"/>
          <w:sz w:val="20"/>
          <w:szCs w:val="20"/>
          <w:lang w:val="bs-Cyrl-BA"/>
        </w:rPr>
      </w:pPr>
      <w:r w:rsidRPr="00076731">
        <w:rPr>
          <w:rFonts w:cs="Times New Roman"/>
          <w:color w:val="000000" w:themeColor="text1"/>
          <w:sz w:val="20"/>
          <w:szCs w:val="20"/>
          <w:lang w:val="bs-Cyrl-BA"/>
        </w:rPr>
        <w:t>УНКОВИЋ М</w:t>
      </w:r>
      <w:r w:rsidR="00076731" w:rsidRPr="007F15E1">
        <w:rPr>
          <w:rFonts w:cs="Times New Roman"/>
          <w:color w:val="000000" w:themeColor="text1"/>
          <w:sz w:val="20"/>
          <w:szCs w:val="20"/>
          <w:lang w:val="bs-Cyrl-BA"/>
        </w:rPr>
        <w:t>.</w:t>
      </w:r>
      <w:r w:rsidRPr="00076731">
        <w:rPr>
          <w:rFonts w:cs="Times New Roman"/>
          <w:color w:val="000000" w:themeColor="text1"/>
          <w:sz w:val="20"/>
          <w:szCs w:val="20"/>
          <w:lang w:val="bs-Cyrl-BA"/>
        </w:rPr>
        <w:t>, МИЛОСАВЉЕВИЋ М</w:t>
      </w:r>
      <w:r w:rsidR="00076731" w:rsidRPr="007F15E1">
        <w:rPr>
          <w:rFonts w:cs="Times New Roman"/>
          <w:color w:val="000000" w:themeColor="text1"/>
          <w:sz w:val="20"/>
          <w:szCs w:val="20"/>
          <w:lang w:val="bs-Cyrl-BA"/>
        </w:rPr>
        <w:t>.</w:t>
      </w:r>
      <w:r w:rsidRPr="00076731">
        <w:rPr>
          <w:rFonts w:cs="Times New Roman"/>
          <w:color w:val="000000" w:themeColor="text1"/>
          <w:sz w:val="20"/>
          <w:szCs w:val="20"/>
          <w:lang w:val="bs-Cyrl-BA"/>
        </w:rPr>
        <w:t>, СТАНИШИЋ Н</w:t>
      </w:r>
      <w:r w:rsidR="00076731" w:rsidRPr="007F15E1">
        <w:rPr>
          <w:rFonts w:cs="Times New Roman"/>
          <w:color w:val="000000" w:themeColor="text1"/>
          <w:sz w:val="20"/>
          <w:szCs w:val="20"/>
          <w:lang w:val="bs-Cyrl-BA"/>
        </w:rPr>
        <w:t>.</w:t>
      </w:r>
      <w:r w:rsidR="009764E8" w:rsidRPr="00076731">
        <w:rPr>
          <w:rFonts w:cs="Times New Roman"/>
          <w:color w:val="000000" w:themeColor="text1"/>
          <w:sz w:val="20"/>
          <w:szCs w:val="20"/>
          <w:lang w:val="bs-Cyrl-BA"/>
        </w:rPr>
        <w:t xml:space="preserve">, </w:t>
      </w:r>
      <w:r w:rsidR="009764E8" w:rsidRPr="00044557">
        <w:rPr>
          <w:rFonts w:cs="Times New Roman"/>
          <w:i/>
          <w:color w:val="000000" w:themeColor="text1"/>
          <w:sz w:val="20"/>
          <w:szCs w:val="20"/>
          <w:lang w:val="bs-Cyrl-BA"/>
        </w:rPr>
        <w:t>Савремено берзанско и електронско пословање</w:t>
      </w:r>
      <w:r w:rsidR="009764E8" w:rsidRPr="00044557">
        <w:rPr>
          <w:rFonts w:cs="Times New Roman"/>
          <w:color w:val="000000" w:themeColor="text1"/>
          <w:sz w:val="20"/>
          <w:szCs w:val="20"/>
          <w:lang w:val="bs-Cyrl-BA"/>
        </w:rPr>
        <w:t>,</w:t>
      </w:r>
      <w:r w:rsidR="009764E8" w:rsidRPr="00076731">
        <w:rPr>
          <w:rFonts w:cs="Times New Roman"/>
          <w:color w:val="000000" w:themeColor="text1"/>
          <w:sz w:val="20"/>
          <w:szCs w:val="20"/>
          <w:lang w:val="bs-Cyrl-BA"/>
        </w:rPr>
        <w:t xml:space="preserve"> Универзитет Сингидунум, Београд.</w:t>
      </w:r>
      <w:r w:rsidR="00076731">
        <w:rPr>
          <w:rFonts w:cs="Times New Roman"/>
          <w:color w:val="000000" w:themeColor="text1"/>
          <w:sz w:val="20"/>
          <w:szCs w:val="20"/>
          <w:lang w:val="bs-Cyrl-BA"/>
        </w:rPr>
        <w:t>2009</w:t>
      </w:r>
      <w:r w:rsidR="00076731" w:rsidRPr="00076731">
        <w:rPr>
          <w:rFonts w:cs="Times New Roman"/>
          <w:color w:val="000000" w:themeColor="text1"/>
          <w:sz w:val="20"/>
          <w:szCs w:val="20"/>
          <w:lang w:val="bs-Cyrl-BA"/>
        </w:rPr>
        <w:t>,</w:t>
      </w:r>
    </w:p>
    <w:p w:rsidR="009764E8" w:rsidRDefault="00AC7E60" w:rsidP="00044557">
      <w:pPr>
        <w:pStyle w:val="ListParagraph"/>
        <w:numPr>
          <w:ilvl w:val="0"/>
          <w:numId w:val="23"/>
        </w:numPr>
        <w:tabs>
          <w:tab w:val="left" w:pos="284"/>
        </w:tabs>
        <w:spacing w:after="0" w:line="240" w:lineRule="auto"/>
        <w:ind w:left="0" w:firstLine="0"/>
        <w:rPr>
          <w:rFonts w:cs="Times New Roman"/>
          <w:color w:val="000000" w:themeColor="text1"/>
          <w:sz w:val="20"/>
          <w:szCs w:val="20"/>
          <w:lang w:val="bs-Cyrl-BA"/>
        </w:rPr>
      </w:pPr>
      <w:r w:rsidRPr="00076731">
        <w:rPr>
          <w:rFonts w:cs="Times New Roman"/>
          <w:color w:val="000000" w:themeColor="text1"/>
          <w:sz w:val="20"/>
          <w:szCs w:val="20"/>
          <w:lang w:val="bs-Cyrl-BA"/>
        </w:rPr>
        <w:t>ЈЕРЕМИЋ З</w:t>
      </w:r>
      <w:r w:rsidR="00044557" w:rsidRPr="007F15E1">
        <w:rPr>
          <w:rFonts w:cs="Times New Roman"/>
          <w:color w:val="000000" w:themeColor="text1"/>
          <w:sz w:val="20"/>
          <w:szCs w:val="20"/>
          <w:lang w:val="bs-Cyrl-BA"/>
        </w:rPr>
        <w:t>.</w:t>
      </w:r>
      <w:r w:rsidRPr="00076731">
        <w:rPr>
          <w:rFonts w:cs="Times New Roman"/>
          <w:color w:val="000000" w:themeColor="text1"/>
          <w:sz w:val="20"/>
          <w:szCs w:val="20"/>
          <w:lang w:val="bs-Cyrl-BA"/>
        </w:rPr>
        <w:t xml:space="preserve">, </w:t>
      </w:r>
      <w:r w:rsidR="009764E8" w:rsidRPr="00044557">
        <w:rPr>
          <w:rFonts w:cs="Times New Roman"/>
          <w:i/>
          <w:color w:val="000000" w:themeColor="text1"/>
          <w:sz w:val="20"/>
          <w:szCs w:val="20"/>
          <w:lang w:val="bs-Cyrl-BA"/>
        </w:rPr>
        <w:t>Финансијска тржишта</w:t>
      </w:r>
      <w:r w:rsidR="009764E8" w:rsidRPr="00044557">
        <w:rPr>
          <w:rFonts w:cs="Times New Roman"/>
          <w:color w:val="000000" w:themeColor="text1"/>
          <w:sz w:val="20"/>
          <w:szCs w:val="20"/>
          <w:lang w:val="bs-Cyrl-BA"/>
        </w:rPr>
        <w:t>,</w:t>
      </w:r>
      <w:r w:rsidR="009764E8" w:rsidRPr="00076731">
        <w:rPr>
          <w:rFonts w:cs="Times New Roman"/>
          <w:color w:val="000000" w:themeColor="text1"/>
          <w:sz w:val="20"/>
          <w:szCs w:val="20"/>
          <w:lang w:val="bs-Cyrl-BA"/>
        </w:rPr>
        <w:t xml:space="preserve"> Универзитет Сингидунум, Београд</w:t>
      </w:r>
      <w:r w:rsidR="00044557" w:rsidRPr="007F15E1">
        <w:rPr>
          <w:rFonts w:cs="Times New Roman"/>
          <w:color w:val="000000" w:themeColor="text1"/>
          <w:sz w:val="20"/>
          <w:szCs w:val="20"/>
          <w:lang w:val="bs-Cyrl-BA"/>
        </w:rPr>
        <w:t xml:space="preserve">, </w:t>
      </w:r>
      <w:r w:rsidR="00044557">
        <w:rPr>
          <w:rFonts w:cs="Times New Roman"/>
          <w:color w:val="000000" w:themeColor="text1"/>
          <w:sz w:val="20"/>
          <w:szCs w:val="20"/>
          <w:lang w:val="bs-Cyrl-BA"/>
        </w:rPr>
        <w:t>2008</w:t>
      </w:r>
      <w:r w:rsidR="00044557" w:rsidRPr="00076731">
        <w:rPr>
          <w:rFonts w:cs="Times New Roman"/>
          <w:color w:val="000000" w:themeColor="text1"/>
          <w:sz w:val="20"/>
          <w:szCs w:val="20"/>
          <w:lang w:val="bs-Cyrl-BA"/>
        </w:rPr>
        <w:t>,</w:t>
      </w:r>
      <w:r w:rsidR="009764E8" w:rsidRPr="00076731">
        <w:rPr>
          <w:rFonts w:cs="Times New Roman"/>
          <w:color w:val="000000" w:themeColor="text1"/>
          <w:sz w:val="20"/>
          <w:szCs w:val="20"/>
          <w:lang w:val="bs-Cyrl-BA"/>
        </w:rPr>
        <w:t>.</w:t>
      </w:r>
    </w:p>
    <w:p w:rsidR="00044557" w:rsidRDefault="008C35A7" w:rsidP="00044557">
      <w:pPr>
        <w:pStyle w:val="ListParagraph"/>
        <w:numPr>
          <w:ilvl w:val="0"/>
          <w:numId w:val="23"/>
        </w:numPr>
        <w:tabs>
          <w:tab w:val="left" w:pos="284"/>
        </w:tabs>
        <w:spacing w:after="0" w:line="240" w:lineRule="auto"/>
        <w:ind w:hanging="720"/>
        <w:rPr>
          <w:rFonts w:cs="Times New Roman"/>
          <w:color w:val="000000" w:themeColor="text1"/>
          <w:sz w:val="20"/>
          <w:szCs w:val="20"/>
          <w:lang w:val="bs-Cyrl-BA"/>
        </w:rPr>
      </w:pPr>
      <w:hyperlink r:id="rId16" w:history="1">
        <w:r w:rsidR="00044557" w:rsidRPr="00076731">
          <w:rPr>
            <w:rStyle w:val="Hyperlink"/>
            <w:rFonts w:cs="Times New Roman"/>
            <w:sz w:val="20"/>
            <w:szCs w:val="20"/>
            <w:lang w:val="bs-Cyrl-BA"/>
          </w:rPr>
          <w:t>https://www.blberza.com/Pages/Default.aspx</w:t>
        </w:r>
      </w:hyperlink>
      <w:r w:rsidR="00044557" w:rsidRPr="007F15E1">
        <w:rPr>
          <w:rFonts w:cs="Times New Roman"/>
          <w:color w:val="000000" w:themeColor="text1"/>
          <w:sz w:val="20"/>
          <w:szCs w:val="20"/>
          <w:lang w:val="bs-Cyrl-BA"/>
        </w:rPr>
        <w:t>,</w:t>
      </w:r>
    </w:p>
    <w:p w:rsidR="00044557" w:rsidRPr="00044557" w:rsidRDefault="008C35A7" w:rsidP="00044557">
      <w:pPr>
        <w:pStyle w:val="ListParagraph"/>
        <w:numPr>
          <w:ilvl w:val="0"/>
          <w:numId w:val="23"/>
        </w:numPr>
        <w:tabs>
          <w:tab w:val="left" w:pos="284"/>
        </w:tabs>
        <w:spacing w:after="0" w:line="240" w:lineRule="auto"/>
        <w:ind w:hanging="720"/>
        <w:rPr>
          <w:rFonts w:cs="Times New Roman"/>
          <w:sz w:val="20"/>
          <w:szCs w:val="20"/>
          <w:lang w:val="bs-Cyrl-BA"/>
        </w:rPr>
      </w:pPr>
      <w:hyperlink r:id="rId17" w:history="1">
        <w:r w:rsidR="00044557" w:rsidRPr="00044557">
          <w:rPr>
            <w:rStyle w:val="Hyperlink"/>
            <w:rFonts w:cs="Times New Roman"/>
            <w:sz w:val="20"/>
            <w:szCs w:val="20"/>
            <w:lang w:val="bs-Cyrl-BA"/>
          </w:rPr>
          <w:t>http://www.sase.ba/v1/</w:t>
        </w:r>
      </w:hyperlink>
      <w:r w:rsidR="00044557" w:rsidRPr="007F15E1">
        <w:rPr>
          <w:rFonts w:cs="Times New Roman"/>
          <w:sz w:val="20"/>
          <w:szCs w:val="20"/>
          <w:lang w:val="bs-Cyrl-BA"/>
        </w:rPr>
        <w:t>,</w:t>
      </w:r>
    </w:p>
    <w:p w:rsidR="00044557" w:rsidRPr="00044557" w:rsidRDefault="008C35A7" w:rsidP="00044557">
      <w:pPr>
        <w:pStyle w:val="ListParagraph"/>
        <w:numPr>
          <w:ilvl w:val="0"/>
          <w:numId w:val="23"/>
        </w:numPr>
        <w:tabs>
          <w:tab w:val="left" w:pos="284"/>
        </w:tabs>
        <w:spacing w:after="0" w:line="240" w:lineRule="auto"/>
        <w:ind w:hanging="720"/>
        <w:rPr>
          <w:rFonts w:cs="Times New Roman"/>
          <w:color w:val="000000" w:themeColor="text1"/>
          <w:sz w:val="20"/>
          <w:szCs w:val="20"/>
          <w:lang w:val="bs-Cyrl-BA"/>
        </w:rPr>
      </w:pPr>
      <w:hyperlink r:id="rId18" w:history="1">
        <w:r w:rsidR="00044557" w:rsidRPr="00044557">
          <w:rPr>
            <w:rStyle w:val="Hyperlink"/>
            <w:rFonts w:cs="Times New Roman"/>
            <w:sz w:val="20"/>
            <w:szCs w:val="20"/>
            <w:lang w:val="bs-Cyrl-BA"/>
          </w:rPr>
          <w:t>http://www.blberza.com/Pages/default.aspx</w:t>
        </w:r>
      </w:hyperlink>
      <w:r w:rsidR="00044557" w:rsidRPr="007F15E1">
        <w:rPr>
          <w:rStyle w:val="Hyperlink"/>
          <w:rFonts w:cs="Times New Roman"/>
          <w:sz w:val="20"/>
          <w:szCs w:val="20"/>
          <w:lang w:val="bs-Cyrl-BA"/>
        </w:rPr>
        <w:t>,</w:t>
      </w:r>
    </w:p>
    <w:p w:rsidR="009764E8" w:rsidRPr="00044557" w:rsidRDefault="008C35A7" w:rsidP="00044557">
      <w:pPr>
        <w:pStyle w:val="ListParagraph"/>
        <w:numPr>
          <w:ilvl w:val="0"/>
          <w:numId w:val="23"/>
        </w:numPr>
        <w:tabs>
          <w:tab w:val="left" w:pos="284"/>
        </w:tabs>
        <w:spacing w:after="0" w:line="240" w:lineRule="auto"/>
        <w:ind w:hanging="720"/>
        <w:rPr>
          <w:rFonts w:cs="Times New Roman"/>
          <w:color w:val="000000" w:themeColor="text1"/>
          <w:sz w:val="20"/>
          <w:szCs w:val="20"/>
          <w:lang w:val="bs-Cyrl-BA"/>
        </w:rPr>
      </w:pPr>
      <w:hyperlink r:id="rId19" w:history="1">
        <w:r w:rsidR="00044557" w:rsidRPr="00044557">
          <w:rPr>
            <w:rStyle w:val="Hyperlink"/>
            <w:rFonts w:cs="Times New Roman"/>
            <w:sz w:val="20"/>
            <w:szCs w:val="20"/>
            <w:lang w:val="bs-Cyrl-BA"/>
          </w:rPr>
          <w:t>http://www.blberza.com/Pages/default.aspx</w:t>
        </w:r>
      </w:hyperlink>
      <w:r w:rsidR="00044557" w:rsidRPr="007F15E1">
        <w:rPr>
          <w:rFonts w:cs="Times New Roman"/>
          <w:color w:val="000000" w:themeColor="text1"/>
          <w:sz w:val="20"/>
          <w:szCs w:val="20"/>
          <w:lang w:val="bs-Cyrl-BA"/>
        </w:rPr>
        <w:t>.</w:t>
      </w:r>
    </w:p>
    <w:p w:rsidR="009764E8" w:rsidRPr="00076731" w:rsidRDefault="009764E8" w:rsidP="00044557">
      <w:pPr>
        <w:pStyle w:val="ListParagraph"/>
        <w:tabs>
          <w:tab w:val="left" w:pos="284"/>
        </w:tabs>
        <w:spacing w:after="0" w:line="240" w:lineRule="auto"/>
        <w:ind w:left="0"/>
        <w:rPr>
          <w:rFonts w:cs="Times New Roman"/>
          <w:b/>
          <w:color w:val="000000" w:themeColor="text1"/>
          <w:sz w:val="20"/>
          <w:szCs w:val="20"/>
          <w:lang w:val="bs-Cyrl-BA"/>
        </w:rPr>
      </w:pPr>
    </w:p>
    <w:p w:rsidR="00076731" w:rsidRPr="00076731" w:rsidRDefault="00076731" w:rsidP="00044557">
      <w:pPr>
        <w:tabs>
          <w:tab w:val="left" w:pos="284"/>
        </w:tabs>
        <w:spacing w:after="0" w:line="240" w:lineRule="auto"/>
        <w:rPr>
          <w:rFonts w:cs="Times New Roman"/>
          <w:color w:val="000000" w:themeColor="text1"/>
          <w:sz w:val="20"/>
          <w:szCs w:val="20"/>
          <w:lang w:val="bs-Cyrl-BA"/>
        </w:rPr>
      </w:pPr>
    </w:p>
    <w:p w:rsidR="009764E8" w:rsidRPr="000C7C34" w:rsidRDefault="009764E8" w:rsidP="00044557">
      <w:pPr>
        <w:spacing w:after="0" w:line="240" w:lineRule="auto"/>
        <w:rPr>
          <w:rFonts w:cs="Times New Roman"/>
          <w:sz w:val="20"/>
          <w:szCs w:val="20"/>
          <w:lang w:val="bs-Cyrl-BA"/>
        </w:rPr>
      </w:pPr>
    </w:p>
    <w:sectPr w:rsidR="009764E8" w:rsidRPr="000C7C34" w:rsidSect="007F15E1">
      <w:headerReference w:type="default" r:id="rId20"/>
      <w:footerReference w:type="default" r:id="rId21"/>
      <w:headerReference w:type="first" r:id="rId22"/>
      <w:footerReference w:type="first" r:id="rId23"/>
      <w:pgSz w:w="12240" w:h="15840"/>
      <w:pgMar w:top="1440" w:right="1440" w:bottom="1440" w:left="1440" w:header="708" w:footer="708"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F37" w:rsidRDefault="00346F37" w:rsidP="003066D2">
      <w:pPr>
        <w:spacing w:after="0" w:line="240" w:lineRule="auto"/>
      </w:pPr>
      <w:r>
        <w:separator/>
      </w:r>
    </w:p>
  </w:endnote>
  <w:endnote w:type="continuationSeparator" w:id="1">
    <w:p w:rsidR="00346F37" w:rsidRDefault="00346F37" w:rsidP="00306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6135"/>
      <w:docPartObj>
        <w:docPartGallery w:val="Page Numbers (Bottom of Page)"/>
        <w:docPartUnique/>
      </w:docPartObj>
    </w:sdtPr>
    <w:sdtContent>
      <w:p w:rsidR="007F15E1" w:rsidRDefault="007F15E1">
        <w:pPr>
          <w:pStyle w:val="Footer"/>
          <w:jc w:val="center"/>
        </w:pPr>
      </w:p>
      <w:tbl>
        <w:tblPr>
          <w:tblW w:w="9498" w:type="dxa"/>
          <w:tblInd w:w="-34" w:type="dxa"/>
          <w:tblBorders>
            <w:top w:val="thinThickSmallGap" w:sz="24" w:space="0" w:color="990000"/>
          </w:tblBorders>
          <w:tblLook w:val="0000"/>
        </w:tblPr>
        <w:tblGrid>
          <w:gridCol w:w="9498"/>
        </w:tblGrid>
        <w:tr w:rsidR="007F15E1" w:rsidTr="007F15E1">
          <w:trPr>
            <w:trHeight w:val="100"/>
          </w:trPr>
          <w:tc>
            <w:tcPr>
              <w:tcW w:w="9498" w:type="dxa"/>
            </w:tcPr>
            <w:p w:rsidR="007F15E1" w:rsidRDefault="007F15E1" w:rsidP="00085F17">
              <w:pPr>
                <w:pStyle w:val="Footer"/>
                <w:jc w:val="right"/>
              </w:pPr>
              <w:r w:rsidRPr="007E43D7">
                <w:t>1</w:t>
              </w:r>
              <w:r>
                <w:t>0</w:t>
              </w:r>
              <w:r w:rsidRPr="007E43D7">
                <w:t xml:space="preserve"> - </w:t>
              </w:r>
              <w:fldSimple w:instr=" PAGE   \* MERGEFORMAT ">
                <w:r w:rsidR="00C9151E">
                  <w:rPr>
                    <w:noProof/>
                  </w:rPr>
                  <w:t>36</w:t>
                </w:r>
              </w:fldSimple>
            </w:p>
          </w:tc>
        </w:tr>
      </w:tbl>
      <w:p w:rsidR="00BD6D46" w:rsidRDefault="008C35A7">
        <w:pPr>
          <w:pStyle w:val="Footer"/>
          <w:jc w:val="center"/>
        </w:pPr>
      </w:p>
    </w:sdtContent>
  </w:sdt>
  <w:p w:rsidR="00BD6D46" w:rsidRDefault="00BD6D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0C7C34" w:rsidTr="000C7C34">
      <w:trPr>
        <w:trHeight w:val="100"/>
      </w:trPr>
      <w:tc>
        <w:tcPr>
          <w:tcW w:w="9356" w:type="dxa"/>
        </w:tcPr>
        <w:p w:rsidR="000C7C34" w:rsidRDefault="000C7C34" w:rsidP="00CB1BA7">
          <w:pPr>
            <w:pStyle w:val="Footer"/>
            <w:jc w:val="right"/>
          </w:pPr>
          <w:r w:rsidRPr="007E43D7">
            <w:t>1</w:t>
          </w:r>
          <w:r>
            <w:t>0</w:t>
          </w:r>
          <w:r w:rsidRPr="007E43D7">
            <w:t xml:space="preserve"> - </w:t>
          </w:r>
          <w:fldSimple w:instr=" PAGE   \* MERGEFORMAT ">
            <w:r w:rsidR="00346F37">
              <w:rPr>
                <w:noProof/>
              </w:rPr>
              <w:t>29</w:t>
            </w:r>
          </w:fldSimple>
        </w:p>
      </w:tc>
    </w:tr>
  </w:tbl>
  <w:p w:rsidR="000C7C34" w:rsidRDefault="000C7C34" w:rsidP="000C7C3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F37" w:rsidRDefault="00346F37" w:rsidP="003066D2">
      <w:pPr>
        <w:spacing w:after="0" w:line="240" w:lineRule="auto"/>
      </w:pPr>
      <w:r>
        <w:separator/>
      </w:r>
    </w:p>
  </w:footnote>
  <w:footnote w:type="continuationSeparator" w:id="1">
    <w:p w:rsidR="00346F37" w:rsidRDefault="00346F37" w:rsidP="003066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51E" w:rsidRDefault="00C9151E" w:rsidP="00C9151E">
    <w:pPr>
      <w:pStyle w:val="Header"/>
    </w:pPr>
    <w:r>
      <w:rPr>
        <w:noProof/>
      </w:rPr>
      <w:pict>
        <v:group id="_x0000_s2058" style="position:absolute;left:0;text-align:left;margin-left:1.85pt;margin-top:-32.15pt;width:466.85pt;height:62pt;z-index:25166336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9"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60"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C9151E" w:rsidRDefault="00C9151E" w:rsidP="00C9151E"/>
              </w:txbxContent>
            </v:textbox>
          </v:shape>
          <v:shape id="Text Box 4" o:spid="_x0000_s2061"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C9151E" w:rsidRDefault="00C9151E" w:rsidP="00C9151E">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C9151E" w:rsidRDefault="00C9151E" w:rsidP="00C9151E">
                  <w:pPr>
                    <w:pStyle w:val="NoSpacing"/>
                    <w:jc w:val="center"/>
                    <w:rPr>
                      <w:sz w:val="20"/>
                      <w:szCs w:val="20"/>
                    </w:rPr>
                  </w:pPr>
                  <w:r>
                    <w:rPr>
                      <w:sz w:val="20"/>
                      <w:szCs w:val="20"/>
                    </w:rPr>
                    <w:t>“Science and Higher Education in Function of Sustainable Development”</w:t>
                  </w:r>
                </w:p>
                <w:p w:rsidR="00C9151E" w:rsidRDefault="00C9151E" w:rsidP="00C9151E">
                  <w:pPr>
                    <w:pStyle w:val="NoSpacing"/>
                    <w:jc w:val="center"/>
                    <w:rPr>
                      <w:sz w:val="20"/>
                      <w:szCs w:val="20"/>
                    </w:rPr>
                  </w:pPr>
                  <w:r>
                    <w:rPr>
                      <w:sz w:val="20"/>
                      <w:szCs w:val="20"/>
                    </w:rPr>
                    <w:t>06 – 07 October 2017, Mećavnik – Drvengrad, Užice, Serbia</w:t>
                  </w:r>
                </w:p>
              </w:txbxContent>
            </v:textbox>
          </v:shape>
        </v:group>
      </w:pict>
    </w:r>
    <w:r>
      <w:rPr>
        <w:noProof/>
      </w:rPr>
      <w:drawing>
        <wp:anchor distT="0" distB="0" distL="114300" distR="114300" simplePos="0" relativeHeight="251664384"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C9151E" w:rsidRDefault="00C9151E" w:rsidP="00C9151E">
    <w:pPr>
      <w:pStyle w:val="Header"/>
    </w:pPr>
  </w:p>
  <w:p w:rsidR="00C9151E" w:rsidRDefault="00C9151E" w:rsidP="00C915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34" w:rsidRDefault="008C35A7" w:rsidP="000C7C34">
    <w:pPr>
      <w:pStyle w:val="Header"/>
    </w:pPr>
    <w:r>
      <w:rPr>
        <w:noProof/>
      </w:rPr>
      <w:pict>
        <v:group id="Group 1" o:spid="_x0000_s2053" style="position:absolute;left:0;text-align:left;margin-left:1.85pt;margin-top:-32.15pt;width:466.8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4"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5"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0C7C34" w:rsidRDefault="000C7C34" w:rsidP="000C7C34"/>
              </w:txbxContent>
            </v:textbox>
          </v:shape>
          <v:shape id="Text Box 4" o:spid="_x0000_s2056"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0C7C34" w:rsidRDefault="000C7C34" w:rsidP="000C7C34">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0C7C34" w:rsidRDefault="000C7C34" w:rsidP="000C7C34">
                  <w:pPr>
                    <w:pStyle w:val="NoSpacing"/>
                    <w:jc w:val="center"/>
                    <w:rPr>
                      <w:sz w:val="20"/>
                      <w:szCs w:val="20"/>
                    </w:rPr>
                  </w:pPr>
                  <w:r>
                    <w:rPr>
                      <w:sz w:val="20"/>
                      <w:szCs w:val="20"/>
                    </w:rPr>
                    <w:t>“Science and Higher Education in Function of Sustainable Development”</w:t>
                  </w:r>
                </w:p>
                <w:p w:rsidR="000C7C34" w:rsidRDefault="000C7C34" w:rsidP="000C7C34">
                  <w:pPr>
                    <w:pStyle w:val="NoSpacing"/>
                    <w:jc w:val="center"/>
                    <w:rPr>
                      <w:sz w:val="20"/>
                      <w:szCs w:val="20"/>
                    </w:rPr>
                  </w:pPr>
                  <w:r>
                    <w:rPr>
                      <w:sz w:val="20"/>
                      <w:szCs w:val="20"/>
                    </w:rPr>
                    <w:t>06 – 07 October 2017, Mećavnik – Drvengrad, Užice, Serbia</w:t>
                  </w:r>
                </w:p>
              </w:txbxContent>
            </v:textbox>
          </v:shape>
        </v:group>
      </w:pict>
    </w:r>
    <w:r w:rsidR="000C7C34">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6"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0C7C34" w:rsidRDefault="000C7C34" w:rsidP="000C7C34">
    <w:pPr>
      <w:pStyle w:val="Header"/>
    </w:pPr>
  </w:p>
  <w:p w:rsidR="000C7C34" w:rsidRDefault="000C7C34" w:rsidP="000C7C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41D7"/>
    <w:multiLevelType w:val="hybridMultilevel"/>
    <w:tmpl w:val="2EB8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946BF"/>
    <w:multiLevelType w:val="hybridMultilevel"/>
    <w:tmpl w:val="3A9865B6"/>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12DC7"/>
    <w:multiLevelType w:val="hybridMultilevel"/>
    <w:tmpl w:val="1D54A2EE"/>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F12B3"/>
    <w:multiLevelType w:val="hybridMultilevel"/>
    <w:tmpl w:val="D766EF78"/>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4B05"/>
    <w:multiLevelType w:val="hybridMultilevel"/>
    <w:tmpl w:val="F65A9ACE"/>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0624F"/>
    <w:multiLevelType w:val="hybridMultilevel"/>
    <w:tmpl w:val="D79AC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80338"/>
    <w:multiLevelType w:val="hybridMultilevel"/>
    <w:tmpl w:val="D03E62AA"/>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A7019"/>
    <w:multiLevelType w:val="hybridMultilevel"/>
    <w:tmpl w:val="1B18D3AC"/>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A1FA3"/>
    <w:multiLevelType w:val="hybridMultilevel"/>
    <w:tmpl w:val="3C1EDF50"/>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D0076"/>
    <w:multiLevelType w:val="hybridMultilevel"/>
    <w:tmpl w:val="0A1E90D8"/>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E457A"/>
    <w:multiLevelType w:val="hybridMultilevel"/>
    <w:tmpl w:val="4D0EA152"/>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8121E"/>
    <w:multiLevelType w:val="hybridMultilevel"/>
    <w:tmpl w:val="D32A8C18"/>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23281"/>
    <w:multiLevelType w:val="hybridMultilevel"/>
    <w:tmpl w:val="CC2A0CC8"/>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B4CC7"/>
    <w:multiLevelType w:val="hybridMultilevel"/>
    <w:tmpl w:val="C666B4A4"/>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81129D"/>
    <w:multiLevelType w:val="hybridMultilevel"/>
    <w:tmpl w:val="18F022E0"/>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E7A3C"/>
    <w:multiLevelType w:val="hybridMultilevel"/>
    <w:tmpl w:val="71289DF2"/>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7505D3"/>
    <w:multiLevelType w:val="hybridMultilevel"/>
    <w:tmpl w:val="5D806ECC"/>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353F0"/>
    <w:multiLevelType w:val="hybridMultilevel"/>
    <w:tmpl w:val="3872BA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57FC17FE"/>
    <w:multiLevelType w:val="hybridMultilevel"/>
    <w:tmpl w:val="CB425C5E"/>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97F0B"/>
    <w:multiLevelType w:val="hybridMultilevel"/>
    <w:tmpl w:val="4F1E869C"/>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105E3"/>
    <w:multiLevelType w:val="hybridMultilevel"/>
    <w:tmpl w:val="9CB0A58C"/>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0E6D13"/>
    <w:multiLevelType w:val="hybridMultilevel"/>
    <w:tmpl w:val="DDD6E0AE"/>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F569C7"/>
    <w:multiLevelType w:val="hybridMultilevel"/>
    <w:tmpl w:val="578AB402"/>
    <w:lvl w:ilvl="0" w:tplc="19EE06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5417F66"/>
    <w:multiLevelType w:val="hybridMultilevel"/>
    <w:tmpl w:val="39FA9748"/>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A12B18"/>
    <w:multiLevelType w:val="hybridMultilevel"/>
    <w:tmpl w:val="7A72DCA6"/>
    <w:lvl w:ilvl="0" w:tplc="B5C0FE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E01C73"/>
    <w:multiLevelType w:val="hybridMultilevel"/>
    <w:tmpl w:val="EE7EF72E"/>
    <w:lvl w:ilvl="0" w:tplc="B5C0FE1C">
      <w:numFmt w:val="bullet"/>
      <w:lvlText w:val="-"/>
      <w:lvlJc w:val="left"/>
      <w:pPr>
        <w:ind w:left="765" w:hanging="360"/>
      </w:pPr>
      <w:rPr>
        <w:rFonts w:ascii="Times New Roman" w:eastAsiaTheme="minorEastAsia"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9"/>
  </w:num>
  <w:num w:numId="3">
    <w:abstractNumId w:val="20"/>
  </w:num>
  <w:num w:numId="4">
    <w:abstractNumId w:val="12"/>
  </w:num>
  <w:num w:numId="5">
    <w:abstractNumId w:val="16"/>
  </w:num>
  <w:num w:numId="6">
    <w:abstractNumId w:val="11"/>
  </w:num>
  <w:num w:numId="7">
    <w:abstractNumId w:val="24"/>
  </w:num>
  <w:num w:numId="8">
    <w:abstractNumId w:val="4"/>
  </w:num>
  <w:num w:numId="9">
    <w:abstractNumId w:val="3"/>
  </w:num>
  <w:num w:numId="10">
    <w:abstractNumId w:val="8"/>
  </w:num>
  <w:num w:numId="11">
    <w:abstractNumId w:val="1"/>
  </w:num>
  <w:num w:numId="12">
    <w:abstractNumId w:val="10"/>
  </w:num>
  <w:num w:numId="13">
    <w:abstractNumId w:val="6"/>
  </w:num>
  <w:num w:numId="14">
    <w:abstractNumId w:val="23"/>
  </w:num>
  <w:num w:numId="15">
    <w:abstractNumId w:val="15"/>
  </w:num>
  <w:num w:numId="16">
    <w:abstractNumId w:val="9"/>
  </w:num>
  <w:num w:numId="17">
    <w:abstractNumId w:val="18"/>
  </w:num>
  <w:num w:numId="18">
    <w:abstractNumId w:val="7"/>
  </w:num>
  <w:num w:numId="19">
    <w:abstractNumId w:val="25"/>
  </w:num>
  <w:num w:numId="20">
    <w:abstractNumId w:val="21"/>
  </w:num>
  <w:num w:numId="21">
    <w:abstractNumId w:val="14"/>
  </w:num>
  <w:num w:numId="22">
    <w:abstractNumId w:val="13"/>
  </w:num>
  <w:num w:numId="23">
    <w:abstractNumId w:val="5"/>
  </w:num>
  <w:num w:numId="24">
    <w:abstractNumId w:val="0"/>
  </w:num>
  <w:num w:numId="25">
    <w:abstractNumId w:val="22"/>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20"/>
  <w:displayHorizontalDrawingGridEvery w:val="2"/>
  <w:characterSpacingControl w:val="doNotCompress"/>
  <w:savePreviewPicture/>
  <w:hdrShapeDefaults>
    <o:shapedefaults v:ext="edit" spidmax="7170"/>
    <o:shapelayout v:ext="edit">
      <o:idmap v:ext="edit" data="2"/>
      <o:rules v:ext="edit">
        <o:r id="V:Rule2" type="connector" idref="#AutoShape 2"/>
        <o:r id="V:Rule3" type="connector" idref="#AutoShape 2"/>
      </o:rules>
    </o:shapelayout>
  </w:hdrShapeDefaults>
  <w:footnotePr>
    <w:footnote w:id="0"/>
    <w:footnote w:id="1"/>
  </w:footnotePr>
  <w:endnotePr>
    <w:endnote w:id="0"/>
    <w:endnote w:id="1"/>
  </w:endnotePr>
  <w:compat>
    <w:useFELayout/>
  </w:compat>
  <w:rsids>
    <w:rsidRoot w:val="003066D2"/>
    <w:rsid w:val="00042E23"/>
    <w:rsid w:val="00044557"/>
    <w:rsid w:val="00064272"/>
    <w:rsid w:val="00076731"/>
    <w:rsid w:val="000B09B0"/>
    <w:rsid w:val="000C7C34"/>
    <w:rsid w:val="000F2AF0"/>
    <w:rsid w:val="00151BA8"/>
    <w:rsid w:val="0015309F"/>
    <w:rsid w:val="001718B8"/>
    <w:rsid w:val="00197D68"/>
    <w:rsid w:val="001A4AB1"/>
    <w:rsid w:val="001B4BC5"/>
    <w:rsid w:val="001D09FF"/>
    <w:rsid w:val="00221F61"/>
    <w:rsid w:val="00230A04"/>
    <w:rsid w:val="00256A0E"/>
    <w:rsid w:val="002A7DBB"/>
    <w:rsid w:val="002D609C"/>
    <w:rsid w:val="002E2462"/>
    <w:rsid w:val="00303F6D"/>
    <w:rsid w:val="003066D2"/>
    <w:rsid w:val="003152A4"/>
    <w:rsid w:val="003225F5"/>
    <w:rsid w:val="00346F37"/>
    <w:rsid w:val="003B5FE8"/>
    <w:rsid w:val="003D05F8"/>
    <w:rsid w:val="003D4F8E"/>
    <w:rsid w:val="003E0B2E"/>
    <w:rsid w:val="003E10AA"/>
    <w:rsid w:val="003F7837"/>
    <w:rsid w:val="004A18E7"/>
    <w:rsid w:val="00503FB4"/>
    <w:rsid w:val="00512D02"/>
    <w:rsid w:val="005273D2"/>
    <w:rsid w:val="00542E7B"/>
    <w:rsid w:val="00605266"/>
    <w:rsid w:val="00622777"/>
    <w:rsid w:val="0065617E"/>
    <w:rsid w:val="00663C1B"/>
    <w:rsid w:val="006670C8"/>
    <w:rsid w:val="006700C8"/>
    <w:rsid w:val="006B3BF9"/>
    <w:rsid w:val="006E6F29"/>
    <w:rsid w:val="00702B07"/>
    <w:rsid w:val="0072121C"/>
    <w:rsid w:val="0074601E"/>
    <w:rsid w:val="00776301"/>
    <w:rsid w:val="00792167"/>
    <w:rsid w:val="007C2D00"/>
    <w:rsid w:val="007D2D81"/>
    <w:rsid w:val="007E0EC2"/>
    <w:rsid w:val="007F00CD"/>
    <w:rsid w:val="007F15E1"/>
    <w:rsid w:val="00822BE8"/>
    <w:rsid w:val="00870B95"/>
    <w:rsid w:val="00880F8D"/>
    <w:rsid w:val="00881907"/>
    <w:rsid w:val="008C35A7"/>
    <w:rsid w:val="008E4511"/>
    <w:rsid w:val="008F1C0A"/>
    <w:rsid w:val="00917875"/>
    <w:rsid w:val="00920F92"/>
    <w:rsid w:val="0095455C"/>
    <w:rsid w:val="009620F2"/>
    <w:rsid w:val="009738FD"/>
    <w:rsid w:val="009764E8"/>
    <w:rsid w:val="0099603D"/>
    <w:rsid w:val="009B50EF"/>
    <w:rsid w:val="009E0883"/>
    <w:rsid w:val="009E201B"/>
    <w:rsid w:val="00A006AA"/>
    <w:rsid w:val="00A106DF"/>
    <w:rsid w:val="00A21184"/>
    <w:rsid w:val="00A365D2"/>
    <w:rsid w:val="00A44456"/>
    <w:rsid w:val="00A91D7C"/>
    <w:rsid w:val="00AC7E60"/>
    <w:rsid w:val="00AE48AC"/>
    <w:rsid w:val="00AE4E23"/>
    <w:rsid w:val="00AF5800"/>
    <w:rsid w:val="00B2099A"/>
    <w:rsid w:val="00B31D19"/>
    <w:rsid w:val="00B74184"/>
    <w:rsid w:val="00BB3199"/>
    <w:rsid w:val="00BC213C"/>
    <w:rsid w:val="00BD6D46"/>
    <w:rsid w:val="00C46596"/>
    <w:rsid w:val="00C9151E"/>
    <w:rsid w:val="00CB37BB"/>
    <w:rsid w:val="00CD0B0E"/>
    <w:rsid w:val="00CE1E37"/>
    <w:rsid w:val="00D327CE"/>
    <w:rsid w:val="00D4665C"/>
    <w:rsid w:val="00D621C9"/>
    <w:rsid w:val="00DB136D"/>
    <w:rsid w:val="00DC538F"/>
    <w:rsid w:val="00DD4896"/>
    <w:rsid w:val="00E14DD6"/>
    <w:rsid w:val="00E14F1E"/>
    <w:rsid w:val="00E96501"/>
    <w:rsid w:val="00EA4727"/>
    <w:rsid w:val="00EB074B"/>
    <w:rsid w:val="00ED5C26"/>
    <w:rsid w:val="00EF2375"/>
    <w:rsid w:val="00EF3844"/>
    <w:rsid w:val="00F242F9"/>
    <w:rsid w:val="00F94BCF"/>
    <w:rsid w:val="00F97508"/>
    <w:rsid w:val="00FC47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D2"/>
    <w:pPr>
      <w:jc w:val="both"/>
    </w:pPr>
    <w:rPr>
      <w:rFonts w:ascii="Times New Roman" w:hAnsi="Times New Roman"/>
      <w:sz w:val="24"/>
    </w:rPr>
  </w:style>
  <w:style w:type="paragraph" w:styleId="Heading1">
    <w:name w:val="heading 1"/>
    <w:basedOn w:val="Normal"/>
    <w:next w:val="Normal"/>
    <w:link w:val="Heading1Char"/>
    <w:uiPriority w:val="9"/>
    <w:qFormat/>
    <w:rsid w:val="003066D2"/>
    <w:pPr>
      <w:keepNext/>
      <w:keepLines/>
      <w:spacing w:before="480" w:after="0"/>
      <w:jc w:val="center"/>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3066D2"/>
    <w:pPr>
      <w:keepNext/>
      <w:keepLines/>
      <w:spacing w:before="200" w:after="0"/>
      <w:jc w:val="center"/>
      <w:outlineLvl w:val="1"/>
    </w:pPr>
    <w:rPr>
      <w:rFonts w:eastAsiaTheme="majorEastAsia"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6D2"/>
    <w:rPr>
      <w:rFonts w:ascii="Times New Roman" w:eastAsiaTheme="majorEastAsia" w:hAnsi="Times New Roman" w:cstheme="majorBidi"/>
      <w:b/>
      <w:bCs/>
      <w:color w:val="000000" w:themeColor="text1"/>
      <w:sz w:val="36"/>
      <w:szCs w:val="28"/>
    </w:rPr>
  </w:style>
  <w:style w:type="character" w:customStyle="1" w:styleId="Heading2Char">
    <w:name w:val="Heading 2 Char"/>
    <w:basedOn w:val="DefaultParagraphFont"/>
    <w:link w:val="Heading2"/>
    <w:uiPriority w:val="9"/>
    <w:rsid w:val="003066D2"/>
    <w:rPr>
      <w:rFonts w:ascii="Times New Roman" w:eastAsiaTheme="majorEastAsia" w:hAnsi="Times New Roman" w:cstheme="majorBidi"/>
      <w:b/>
      <w:bCs/>
      <w:color w:val="000000" w:themeColor="text1"/>
      <w:sz w:val="32"/>
      <w:szCs w:val="26"/>
    </w:rPr>
  </w:style>
  <w:style w:type="paragraph" w:styleId="ListParagraph">
    <w:name w:val="List Paragraph"/>
    <w:basedOn w:val="Normal"/>
    <w:uiPriority w:val="34"/>
    <w:qFormat/>
    <w:rsid w:val="003066D2"/>
    <w:pPr>
      <w:ind w:left="720"/>
      <w:contextualSpacing/>
    </w:pPr>
  </w:style>
  <w:style w:type="paragraph" w:styleId="BalloonText">
    <w:name w:val="Balloon Text"/>
    <w:basedOn w:val="Normal"/>
    <w:link w:val="BalloonTextChar"/>
    <w:uiPriority w:val="99"/>
    <w:semiHidden/>
    <w:unhideWhenUsed/>
    <w:rsid w:val="00306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D2"/>
    <w:rPr>
      <w:rFonts w:ascii="Tahoma" w:hAnsi="Tahoma" w:cs="Tahoma"/>
      <w:sz w:val="16"/>
      <w:szCs w:val="16"/>
    </w:rPr>
  </w:style>
  <w:style w:type="paragraph" w:styleId="FootnoteText">
    <w:name w:val="footnote text"/>
    <w:basedOn w:val="Normal"/>
    <w:link w:val="FootnoteTextChar"/>
    <w:uiPriority w:val="99"/>
    <w:semiHidden/>
    <w:unhideWhenUsed/>
    <w:rsid w:val="00306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6D2"/>
    <w:rPr>
      <w:rFonts w:ascii="Times New Roman" w:hAnsi="Times New Roman"/>
      <w:sz w:val="20"/>
      <w:szCs w:val="20"/>
    </w:rPr>
  </w:style>
  <w:style w:type="character" w:styleId="FootnoteReference">
    <w:name w:val="footnote reference"/>
    <w:basedOn w:val="DefaultParagraphFont"/>
    <w:uiPriority w:val="99"/>
    <w:semiHidden/>
    <w:unhideWhenUsed/>
    <w:rsid w:val="003066D2"/>
    <w:rPr>
      <w:vertAlign w:val="superscript"/>
    </w:rPr>
  </w:style>
  <w:style w:type="paragraph" w:styleId="Header">
    <w:name w:val="header"/>
    <w:basedOn w:val="Normal"/>
    <w:link w:val="HeaderChar"/>
    <w:uiPriority w:val="99"/>
    <w:unhideWhenUsed/>
    <w:rsid w:val="0092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F92"/>
    <w:rPr>
      <w:rFonts w:ascii="Times New Roman" w:hAnsi="Times New Roman"/>
      <w:sz w:val="24"/>
    </w:rPr>
  </w:style>
  <w:style w:type="paragraph" w:styleId="Footer">
    <w:name w:val="footer"/>
    <w:basedOn w:val="Normal"/>
    <w:link w:val="FooterChar"/>
    <w:uiPriority w:val="99"/>
    <w:unhideWhenUsed/>
    <w:rsid w:val="00920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92"/>
    <w:rPr>
      <w:rFonts w:ascii="Times New Roman" w:hAnsi="Times New Roman"/>
      <w:sz w:val="24"/>
    </w:rPr>
  </w:style>
  <w:style w:type="paragraph" w:styleId="TOCHeading">
    <w:name w:val="TOC Heading"/>
    <w:basedOn w:val="Heading1"/>
    <w:next w:val="Normal"/>
    <w:uiPriority w:val="39"/>
    <w:semiHidden/>
    <w:unhideWhenUsed/>
    <w:qFormat/>
    <w:rsid w:val="00920F92"/>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920F92"/>
    <w:pPr>
      <w:spacing w:after="100"/>
    </w:pPr>
  </w:style>
  <w:style w:type="paragraph" w:styleId="TOC2">
    <w:name w:val="toc 2"/>
    <w:basedOn w:val="Normal"/>
    <w:next w:val="Normal"/>
    <w:autoRedefine/>
    <w:uiPriority w:val="39"/>
    <w:unhideWhenUsed/>
    <w:rsid w:val="00920F92"/>
    <w:pPr>
      <w:spacing w:after="100"/>
      <w:ind w:left="240"/>
    </w:pPr>
  </w:style>
  <w:style w:type="character" w:styleId="Hyperlink">
    <w:name w:val="Hyperlink"/>
    <w:basedOn w:val="DefaultParagraphFont"/>
    <w:uiPriority w:val="99"/>
    <w:unhideWhenUsed/>
    <w:rsid w:val="00920F92"/>
    <w:rPr>
      <w:color w:val="0000FF" w:themeColor="hyperlink"/>
      <w:u w:val="single"/>
    </w:rPr>
  </w:style>
  <w:style w:type="paragraph" w:styleId="NoSpacing">
    <w:name w:val="No Spacing"/>
    <w:uiPriority w:val="1"/>
    <w:qFormat/>
    <w:rsid w:val="00702B07"/>
    <w:pPr>
      <w:spacing w:after="0" w:line="240" w:lineRule="auto"/>
      <w:jc w:val="both"/>
    </w:pPr>
    <w:rPr>
      <w:rFonts w:ascii="Times New Roman" w:hAnsi="Times New Roman"/>
      <w:sz w:val="24"/>
    </w:rPr>
  </w:style>
  <w:style w:type="paragraph" w:styleId="HTMLPreformatted">
    <w:name w:val="HTML Preformatted"/>
    <w:basedOn w:val="Normal"/>
    <w:link w:val="HTMLPreformattedChar"/>
    <w:uiPriority w:val="99"/>
    <w:unhideWhenUsed/>
    <w:rsid w:val="0097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64E8"/>
    <w:rPr>
      <w:rFonts w:ascii="Courier New" w:eastAsia="Times New Roman" w:hAnsi="Courier New" w:cs="Courier New"/>
      <w:sz w:val="20"/>
      <w:szCs w:val="20"/>
    </w:rPr>
  </w:style>
  <w:style w:type="table" w:styleId="TableGrid">
    <w:name w:val="Table Grid"/>
    <w:basedOn w:val="TableNormal"/>
    <w:uiPriority w:val="59"/>
    <w:rsid w:val="00EF2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634584">
      <w:bodyDiv w:val="1"/>
      <w:marLeft w:val="0"/>
      <w:marRight w:val="0"/>
      <w:marTop w:val="0"/>
      <w:marBottom w:val="0"/>
      <w:divBdr>
        <w:top w:val="none" w:sz="0" w:space="0" w:color="auto"/>
        <w:left w:val="none" w:sz="0" w:space="0" w:color="auto"/>
        <w:bottom w:val="none" w:sz="0" w:space="0" w:color="auto"/>
        <w:right w:val="none" w:sz="0" w:space="0" w:color="auto"/>
      </w:divBdr>
    </w:div>
    <w:div w:id="538401299">
      <w:bodyDiv w:val="1"/>
      <w:marLeft w:val="0"/>
      <w:marRight w:val="0"/>
      <w:marTop w:val="0"/>
      <w:marBottom w:val="0"/>
      <w:divBdr>
        <w:top w:val="none" w:sz="0" w:space="0" w:color="auto"/>
        <w:left w:val="none" w:sz="0" w:space="0" w:color="auto"/>
        <w:bottom w:val="none" w:sz="0" w:space="0" w:color="auto"/>
        <w:right w:val="none" w:sz="0" w:space="0" w:color="auto"/>
      </w:divBdr>
    </w:div>
    <w:div w:id="542835460">
      <w:bodyDiv w:val="1"/>
      <w:marLeft w:val="0"/>
      <w:marRight w:val="0"/>
      <w:marTop w:val="0"/>
      <w:marBottom w:val="0"/>
      <w:divBdr>
        <w:top w:val="none" w:sz="0" w:space="0" w:color="auto"/>
        <w:left w:val="none" w:sz="0" w:space="0" w:color="auto"/>
        <w:bottom w:val="none" w:sz="0" w:space="0" w:color="auto"/>
        <w:right w:val="none" w:sz="0" w:space="0" w:color="auto"/>
      </w:divBdr>
    </w:div>
    <w:div w:id="728842560">
      <w:bodyDiv w:val="1"/>
      <w:marLeft w:val="0"/>
      <w:marRight w:val="0"/>
      <w:marTop w:val="0"/>
      <w:marBottom w:val="0"/>
      <w:divBdr>
        <w:top w:val="none" w:sz="0" w:space="0" w:color="auto"/>
        <w:left w:val="none" w:sz="0" w:space="0" w:color="auto"/>
        <w:bottom w:val="none" w:sz="0" w:space="0" w:color="auto"/>
        <w:right w:val="none" w:sz="0" w:space="0" w:color="auto"/>
      </w:divBdr>
    </w:div>
    <w:div w:id="824050392">
      <w:bodyDiv w:val="1"/>
      <w:marLeft w:val="0"/>
      <w:marRight w:val="0"/>
      <w:marTop w:val="0"/>
      <w:marBottom w:val="0"/>
      <w:divBdr>
        <w:top w:val="none" w:sz="0" w:space="0" w:color="auto"/>
        <w:left w:val="none" w:sz="0" w:space="0" w:color="auto"/>
        <w:bottom w:val="none" w:sz="0" w:space="0" w:color="auto"/>
        <w:right w:val="none" w:sz="0" w:space="0" w:color="auto"/>
      </w:divBdr>
    </w:div>
    <w:div w:id="847721243">
      <w:bodyDiv w:val="1"/>
      <w:marLeft w:val="0"/>
      <w:marRight w:val="0"/>
      <w:marTop w:val="0"/>
      <w:marBottom w:val="0"/>
      <w:divBdr>
        <w:top w:val="none" w:sz="0" w:space="0" w:color="auto"/>
        <w:left w:val="none" w:sz="0" w:space="0" w:color="auto"/>
        <w:bottom w:val="none" w:sz="0" w:space="0" w:color="auto"/>
        <w:right w:val="none" w:sz="0" w:space="0" w:color="auto"/>
      </w:divBdr>
    </w:div>
    <w:div w:id="858154730">
      <w:bodyDiv w:val="1"/>
      <w:marLeft w:val="0"/>
      <w:marRight w:val="0"/>
      <w:marTop w:val="0"/>
      <w:marBottom w:val="0"/>
      <w:divBdr>
        <w:top w:val="none" w:sz="0" w:space="0" w:color="auto"/>
        <w:left w:val="none" w:sz="0" w:space="0" w:color="auto"/>
        <w:bottom w:val="none" w:sz="0" w:space="0" w:color="auto"/>
        <w:right w:val="none" w:sz="0" w:space="0" w:color="auto"/>
      </w:divBdr>
    </w:div>
    <w:div w:id="1224023055">
      <w:bodyDiv w:val="1"/>
      <w:marLeft w:val="0"/>
      <w:marRight w:val="0"/>
      <w:marTop w:val="0"/>
      <w:marBottom w:val="0"/>
      <w:divBdr>
        <w:top w:val="none" w:sz="0" w:space="0" w:color="auto"/>
        <w:left w:val="none" w:sz="0" w:space="0" w:color="auto"/>
        <w:bottom w:val="none" w:sz="0" w:space="0" w:color="auto"/>
        <w:right w:val="none" w:sz="0" w:space="0" w:color="auto"/>
      </w:divBdr>
    </w:div>
    <w:div w:id="1241719946">
      <w:bodyDiv w:val="1"/>
      <w:marLeft w:val="0"/>
      <w:marRight w:val="0"/>
      <w:marTop w:val="0"/>
      <w:marBottom w:val="0"/>
      <w:divBdr>
        <w:top w:val="none" w:sz="0" w:space="0" w:color="auto"/>
        <w:left w:val="none" w:sz="0" w:space="0" w:color="auto"/>
        <w:bottom w:val="none" w:sz="0" w:space="0" w:color="auto"/>
        <w:right w:val="none" w:sz="0" w:space="0" w:color="auto"/>
      </w:divBdr>
    </w:div>
    <w:div w:id="1362587826">
      <w:bodyDiv w:val="1"/>
      <w:marLeft w:val="0"/>
      <w:marRight w:val="0"/>
      <w:marTop w:val="0"/>
      <w:marBottom w:val="0"/>
      <w:divBdr>
        <w:top w:val="none" w:sz="0" w:space="0" w:color="auto"/>
        <w:left w:val="none" w:sz="0" w:space="0" w:color="auto"/>
        <w:bottom w:val="none" w:sz="0" w:space="0" w:color="auto"/>
        <w:right w:val="none" w:sz="0" w:space="0" w:color="auto"/>
      </w:divBdr>
    </w:div>
    <w:div w:id="1537541855">
      <w:bodyDiv w:val="1"/>
      <w:marLeft w:val="0"/>
      <w:marRight w:val="0"/>
      <w:marTop w:val="0"/>
      <w:marBottom w:val="0"/>
      <w:divBdr>
        <w:top w:val="none" w:sz="0" w:space="0" w:color="auto"/>
        <w:left w:val="none" w:sz="0" w:space="0" w:color="auto"/>
        <w:bottom w:val="none" w:sz="0" w:space="0" w:color="auto"/>
        <w:right w:val="none" w:sz="0" w:space="0" w:color="auto"/>
      </w:divBdr>
    </w:div>
    <w:div w:id="1577476472">
      <w:bodyDiv w:val="1"/>
      <w:marLeft w:val="0"/>
      <w:marRight w:val="0"/>
      <w:marTop w:val="0"/>
      <w:marBottom w:val="0"/>
      <w:divBdr>
        <w:top w:val="none" w:sz="0" w:space="0" w:color="auto"/>
        <w:left w:val="none" w:sz="0" w:space="0" w:color="auto"/>
        <w:bottom w:val="none" w:sz="0" w:space="0" w:color="auto"/>
        <w:right w:val="none" w:sz="0" w:space="0" w:color="auto"/>
      </w:divBdr>
    </w:div>
    <w:div w:id="1591115493">
      <w:bodyDiv w:val="1"/>
      <w:marLeft w:val="0"/>
      <w:marRight w:val="0"/>
      <w:marTop w:val="0"/>
      <w:marBottom w:val="0"/>
      <w:divBdr>
        <w:top w:val="none" w:sz="0" w:space="0" w:color="auto"/>
        <w:left w:val="none" w:sz="0" w:space="0" w:color="auto"/>
        <w:bottom w:val="none" w:sz="0" w:space="0" w:color="auto"/>
        <w:right w:val="none" w:sz="0" w:space="0" w:color="auto"/>
      </w:divBdr>
    </w:div>
    <w:div w:id="1638950085">
      <w:bodyDiv w:val="1"/>
      <w:marLeft w:val="0"/>
      <w:marRight w:val="0"/>
      <w:marTop w:val="0"/>
      <w:marBottom w:val="0"/>
      <w:divBdr>
        <w:top w:val="none" w:sz="0" w:space="0" w:color="auto"/>
        <w:left w:val="none" w:sz="0" w:space="0" w:color="auto"/>
        <w:bottom w:val="none" w:sz="0" w:space="0" w:color="auto"/>
        <w:right w:val="none" w:sz="0" w:space="0" w:color="auto"/>
      </w:divBdr>
    </w:div>
    <w:div w:id="1687634019">
      <w:bodyDiv w:val="1"/>
      <w:marLeft w:val="0"/>
      <w:marRight w:val="0"/>
      <w:marTop w:val="0"/>
      <w:marBottom w:val="0"/>
      <w:divBdr>
        <w:top w:val="none" w:sz="0" w:space="0" w:color="auto"/>
        <w:left w:val="none" w:sz="0" w:space="0" w:color="auto"/>
        <w:bottom w:val="none" w:sz="0" w:space="0" w:color="auto"/>
        <w:right w:val="none" w:sz="0" w:space="0" w:color="auto"/>
      </w:divBdr>
    </w:div>
    <w:div w:id="1716276539">
      <w:bodyDiv w:val="1"/>
      <w:marLeft w:val="0"/>
      <w:marRight w:val="0"/>
      <w:marTop w:val="0"/>
      <w:marBottom w:val="0"/>
      <w:divBdr>
        <w:top w:val="none" w:sz="0" w:space="0" w:color="auto"/>
        <w:left w:val="none" w:sz="0" w:space="0" w:color="auto"/>
        <w:bottom w:val="none" w:sz="0" w:space="0" w:color="auto"/>
        <w:right w:val="none" w:sz="0" w:space="0" w:color="auto"/>
      </w:divBdr>
    </w:div>
    <w:div w:id="1774589385">
      <w:bodyDiv w:val="1"/>
      <w:marLeft w:val="0"/>
      <w:marRight w:val="0"/>
      <w:marTop w:val="0"/>
      <w:marBottom w:val="0"/>
      <w:divBdr>
        <w:top w:val="none" w:sz="0" w:space="0" w:color="auto"/>
        <w:left w:val="none" w:sz="0" w:space="0" w:color="auto"/>
        <w:bottom w:val="none" w:sz="0" w:space="0" w:color="auto"/>
        <w:right w:val="none" w:sz="0" w:space="0" w:color="auto"/>
      </w:divBdr>
    </w:div>
    <w:div w:id="1813209315">
      <w:bodyDiv w:val="1"/>
      <w:marLeft w:val="0"/>
      <w:marRight w:val="0"/>
      <w:marTop w:val="0"/>
      <w:marBottom w:val="0"/>
      <w:divBdr>
        <w:top w:val="none" w:sz="0" w:space="0" w:color="auto"/>
        <w:left w:val="none" w:sz="0" w:space="0" w:color="auto"/>
        <w:bottom w:val="none" w:sz="0" w:space="0" w:color="auto"/>
        <w:right w:val="none" w:sz="0" w:space="0" w:color="auto"/>
      </w:divBdr>
    </w:div>
    <w:div w:id="1882396543">
      <w:bodyDiv w:val="1"/>
      <w:marLeft w:val="0"/>
      <w:marRight w:val="0"/>
      <w:marTop w:val="0"/>
      <w:marBottom w:val="0"/>
      <w:divBdr>
        <w:top w:val="none" w:sz="0" w:space="0" w:color="auto"/>
        <w:left w:val="none" w:sz="0" w:space="0" w:color="auto"/>
        <w:bottom w:val="none" w:sz="0" w:space="0" w:color="auto"/>
        <w:right w:val="none" w:sz="0" w:space="0" w:color="auto"/>
      </w:divBdr>
    </w:div>
    <w:div w:id="207789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lberza.com/Pages/default.aspx" TargetMode="External"/><Relationship Id="rId18" Type="http://schemas.openxmlformats.org/officeDocument/2006/relationships/hyperlink" Target="http://www.blberza.com/Pages/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ase.ba/v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lberza.com/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e.ba/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berza.com/Pages/default.aspx"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blberza.com/Pages/default.aspx" TargetMode="External"/><Relationship Id="rId4" Type="http://schemas.openxmlformats.org/officeDocument/2006/relationships/settings" Target="settings.xml"/><Relationship Id="rId9" Type="http://schemas.openxmlformats.org/officeDocument/2006/relationships/hyperlink" Target="https://www.blberza.com/Pages/Default.aspx" TargetMode="External"/><Relationship Id="rId14" Type="http://schemas.openxmlformats.org/officeDocument/2006/relationships/image" Target="media/image4.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22F0-936D-4DDA-AC43-3EF8419D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Nebojsa Milkovic</dc:creator>
  <cp:lastModifiedBy>Pedja</cp:lastModifiedBy>
  <cp:revision>6</cp:revision>
  <dcterms:created xsi:type="dcterms:W3CDTF">2017-10-16T06:38:00Z</dcterms:created>
  <dcterms:modified xsi:type="dcterms:W3CDTF">2017-10-17T11:47:00Z</dcterms:modified>
</cp:coreProperties>
</file>