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3A" w:rsidRPr="007931F7" w:rsidRDefault="0001643A" w:rsidP="00F5720B">
      <w:pPr>
        <w:pStyle w:val="BodyText3"/>
        <w:spacing w:after="0"/>
        <w:jc w:val="center"/>
        <w:rPr>
          <w:b/>
          <w:sz w:val="28"/>
          <w:szCs w:val="28"/>
        </w:rPr>
      </w:pPr>
    </w:p>
    <w:p w:rsidR="0001643A" w:rsidRPr="007931F7" w:rsidRDefault="0001643A" w:rsidP="00F5720B">
      <w:pPr>
        <w:pStyle w:val="BodyText3"/>
        <w:spacing w:after="0"/>
        <w:jc w:val="center"/>
        <w:rPr>
          <w:b/>
          <w:sz w:val="28"/>
          <w:szCs w:val="28"/>
        </w:rPr>
      </w:pPr>
    </w:p>
    <w:p w:rsidR="0001643A" w:rsidRPr="007931F7" w:rsidRDefault="0001643A" w:rsidP="00F5720B">
      <w:pPr>
        <w:pStyle w:val="BodyText3"/>
        <w:spacing w:after="0"/>
        <w:jc w:val="center"/>
        <w:rPr>
          <w:b/>
          <w:sz w:val="28"/>
          <w:szCs w:val="28"/>
        </w:rPr>
      </w:pPr>
    </w:p>
    <w:p w:rsidR="0001643A" w:rsidRPr="007931F7" w:rsidRDefault="0001643A" w:rsidP="00F5720B">
      <w:pPr>
        <w:pStyle w:val="BodyText3"/>
        <w:spacing w:after="0"/>
        <w:jc w:val="center"/>
        <w:rPr>
          <w:b/>
          <w:sz w:val="28"/>
          <w:szCs w:val="28"/>
        </w:rPr>
      </w:pPr>
    </w:p>
    <w:p w:rsidR="00F5720B" w:rsidRPr="007931F7" w:rsidRDefault="00F5720B" w:rsidP="00F5720B">
      <w:pPr>
        <w:pStyle w:val="BodyText3"/>
        <w:spacing w:after="0"/>
        <w:jc w:val="center"/>
        <w:rPr>
          <w:b/>
          <w:sz w:val="28"/>
          <w:szCs w:val="28"/>
        </w:rPr>
      </w:pPr>
      <w:r w:rsidRPr="007931F7">
        <w:rPr>
          <w:b/>
          <w:sz w:val="28"/>
          <w:szCs w:val="28"/>
        </w:rPr>
        <w:t>Analysis of selected students' I</w:t>
      </w:r>
      <w:r w:rsidR="003656DB">
        <w:rPr>
          <w:b/>
          <w:sz w:val="28"/>
          <w:szCs w:val="28"/>
        </w:rPr>
        <w:t>C</w:t>
      </w:r>
      <w:r w:rsidRPr="007931F7">
        <w:rPr>
          <w:b/>
          <w:sz w:val="28"/>
          <w:szCs w:val="28"/>
        </w:rPr>
        <w:t>T indicators as possible motivating factors for e-commerce adoption</w:t>
      </w:r>
    </w:p>
    <w:p w:rsidR="00F5720B" w:rsidRPr="007931F7" w:rsidRDefault="00F5720B" w:rsidP="00F5720B">
      <w:pPr>
        <w:jc w:val="center"/>
        <w:rPr>
          <w:i/>
          <w:sz w:val="20"/>
        </w:rPr>
      </w:pPr>
      <w:r w:rsidRPr="007931F7">
        <w:rPr>
          <w:i/>
          <w:sz w:val="20"/>
        </w:rPr>
        <w:t xml:space="preserve"> </w:t>
      </w:r>
    </w:p>
    <w:p w:rsidR="00F5720B" w:rsidRPr="005655DA" w:rsidRDefault="00F5720B" w:rsidP="00F5720B">
      <w:pPr>
        <w:jc w:val="center"/>
        <w:rPr>
          <w:b/>
          <w:sz w:val="22"/>
          <w:szCs w:val="22"/>
          <w:lang w:val="de-DE"/>
        </w:rPr>
      </w:pPr>
      <w:r w:rsidRPr="005655DA">
        <w:rPr>
          <w:b/>
          <w:sz w:val="22"/>
          <w:szCs w:val="22"/>
          <w:lang w:val="de-DE"/>
        </w:rPr>
        <w:t>Dr Zoran Marošan</w:t>
      </w:r>
      <w:r w:rsidRPr="005655DA">
        <w:rPr>
          <w:b/>
          <w:sz w:val="22"/>
          <w:szCs w:val="22"/>
          <w:vertAlign w:val="superscript"/>
          <w:lang w:val="de-DE"/>
        </w:rPr>
        <w:t>1</w:t>
      </w:r>
      <w:r w:rsidRPr="005655DA">
        <w:rPr>
          <w:b/>
          <w:sz w:val="22"/>
          <w:szCs w:val="22"/>
          <w:lang w:val="de-DE"/>
        </w:rPr>
        <w:t>; Dr Nataša Papić-Blagojević</w:t>
      </w:r>
      <w:r w:rsidRPr="005655DA">
        <w:rPr>
          <w:b/>
          <w:sz w:val="22"/>
          <w:szCs w:val="22"/>
          <w:vertAlign w:val="superscript"/>
          <w:lang w:val="de-DE"/>
        </w:rPr>
        <w:t>1</w:t>
      </w:r>
      <w:r w:rsidRPr="005655DA">
        <w:rPr>
          <w:b/>
          <w:sz w:val="22"/>
          <w:szCs w:val="22"/>
          <w:lang w:val="de-DE"/>
        </w:rPr>
        <w:t xml:space="preserve"> </w:t>
      </w:r>
    </w:p>
    <w:p w:rsidR="00F5720B" w:rsidRPr="007931F7" w:rsidRDefault="00F5720B" w:rsidP="00F5720B">
      <w:pPr>
        <w:jc w:val="center"/>
        <w:rPr>
          <w:sz w:val="20"/>
        </w:rPr>
      </w:pPr>
      <w:r w:rsidRPr="007931F7">
        <w:rPr>
          <w:sz w:val="20"/>
          <w:vertAlign w:val="superscript"/>
        </w:rPr>
        <w:t>1</w:t>
      </w:r>
      <w:r w:rsidRPr="007931F7">
        <w:rPr>
          <w:sz w:val="20"/>
        </w:rPr>
        <w:t xml:space="preserve"> Novi Sad School of Business, Novi Sad, Serbia </w:t>
      </w:r>
    </w:p>
    <w:p w:rsidR="00F5720B" w:rsidRPr="007931F7" w:rsidRDefault="00F5720B" w:rsidP="00F5720B">
      <w:pPr>
        <w:jc w:val="center"/>
        <w:rPr>
          <w:i/>
          <w:sz w:val="20"/>
        </w:rPr>
      </w:pPr>
      <w:r w:rsidRPr="007931F7">
        <w:rPr>
          <w:i/>
          <w:sz w:val="20"/>
        </w:rPr>
        <w:t xml:space="preserve"> </w:t>
      </w:r>
    </w:p>
    <w:p w:rsidR="00F5720B" w:rsidRPr="007931F7" w:rsidRDefault="00F5720B" w:rsidP="00F5720B">
      <w:pPr>
        <w:jc w:val="both"/>
        <w:rPr>
          <w:b/>
          <w:i/>
          <w:sz w:val="18"/>
        </w:rPr>
      </w:pPr>
    </w:p>
    <w:p w:rsidR="00F5720B" w:rsidRPr="007931F7" w:rsidRDefault="00F5720B" w:rsidP="00F5720B">
      <w:pPr>
        <w:jc w:val="both"/>
        <w:rPr>
          <w:i/>
          <w:sz w:val="18"/>
          <w:szCs w:val="18"/>
        </w:rPr>
      </w:pPr>
      <w:r w:rsidRPr="007931F7">
        <w:rPr>
          <w:b/>
          <w:i/>
          <w:sz w:val="18"/>
        </w:rPr>
        <w:t>Abstract:</w:t>
      </w:r>
      <w:r w:rsidRPr="007931F7">
        <w:rPr>
          <w:i/>
          <w:sz w:val="18"/>
        </w:rPr>
        <w:t xml:space="preserve">  The successful e-commerce implementation depends, among others, on factors that can be deliberated by the analysis of some I</w:t>
      </w:r>
      <w:r w:rsidR="003656DB">
        <w:rPr>
          <w:i/>
          <w:sz w:val="18"/>
        </w:rPr>
        <w:t>C</w:t>
      </w:r>
      <w:r w:rsidRPr="007931F7">
        <w:rPr>
          <w:i/>
          <w:sz w:val="18"/>
        </w:rPr>
        <w:t xml:space="preserve">T indicators. It was the main reason for the authors of this paper to try to establish in which extent the surveyed students are present or potential future users of e-commerce services. To this purpose a research was conducted using a survey containing standardized questions allowing the comparison of the acquired data with the same or similar relevant to the Republic of Serbia and the European Union. The data were collected in a period of several years permitting to the authors of this paper the detection of some trends. The derived results could be useful to all companies which included e-commerce in their business especially the ones that are targeting the younger population cluster. </w:t>
      </w:r>
    </w:p>
    <w:p w:rsidR="00F5720B" w:rsidRPr="007931F7" w:rsidRDefault="00F5720B" w:rsidP="00F5720B">
      <w:pPr>
        <w:jc w:val="both"/>
        <w:rPr>
          <w:b/>
          <w:i/>
          <w:sz w:val="18"/>
        </w:rPr>
      </w:pPr>
    </w:p>
    <w:p w:rsidR="00725C5D" w:rsidRPr="007931F7" w:rsidRDefault="00F5720B" w:rsidP="00F5720B">
      <w:pPr>
        <w:jc w:val="center"/>
        <w:rPr>
          <w:i/>
          <w:sz w:val="18"/>
        </w:rPr>
      </w:pPr>
      <w:r w:rsidRPr="007931F7">
        <w:rPr>
          <w:b/>
          <w:i/>
          <w:sz w:val="18"/>
        </w:rPr>
        <w:t>Key words:</w:t>
      </w:r>
      <w:r w:rsidRPr="007931F7">
        <w:rPr>
          <w:i/>
          <w:sz w:val="18"/>
        </w:rPr>
        <w:t xml:space="preserve">  e-commerce, Information Society, I</w:t>
      </w:r>
      <w:r w:rsidR="003656DB">
        <w:rPr>
          <w:i/>
          <w:sz w:val="18"/>
        </w:rPr>
        <w:t>C</w:t>
      </w:r>
      <w:r w:rsidRPr="007931F7">
        <w:rPr>
          <w:i/>
          <w:sz w:val="18"/>
        </w:rPr>
        <w:t>T indicators.</w:t>
      </w:r>
    </w:p>
    <w:p w:rsidR="004F66AB" w:rsidRPr="007931F7" w:rsidRDefault="004F66AB" w:rsidP="004F66AB">
      <w:pPr>
        <w:jc w:val="center"/>
        <w:rPr>
          <w:i/>
          <w:sz w:val="18"/>
        </w:rPr>
      </w:pPr>
    </w:p>
    <w:p w:rsidR="004F66AB" w:rsidRPr="007931F7" w:rsidRDefault="004F66AB" w:rsidP="004F66AB">
      <w:pPr>
        <w:jc w:val="center"/>
        <w:rPr>
          <w:i/>
          <w:sz w:val="18"/>
        </w:rPr>
      </w:pPr>
    </w:p>
    <w:p w:rsidR="004F66AB" w:rsidRPr="007931F7" w:rsidRDefault="004F66AB" w:rsidP="004F66AB">
      <w:pPr>
        <w:jc w:val="center"/>
        <w:rPr>
          <w:sz w:val="20"/>
        </w:rPr>
      </w:pPr>
    </w:p>
    <w:p w:rsidR="00725C5D" w:rsidRPr="007931F7" w:rsidRDefault="00725C5D" w:rsidP="00725C5D">
      <w:pPr>
        <w:jc w:val="both"/>
        <w:rPr>
          <w:b/>
          <w:sz w:val="22"/>
          <w:szCs w:val="22"/>
        </w:rPr>
      </w:pPr>
      <w:r w:rsidRPr="007931F7">
        <w:rPr>
          <w:b/>
          <w:sz w:val="22"/>
          <w:szCs w:val="22"/>
        </w:rPr>
        <w:t xml:space="preserve">1. </w:t>
      </w:r>
      <w:r w:rsidR="00A505EA" w:rsidRPr="007931F7">
        <w:rPr>
          <w:b/>
          <w:sz w:val="22"/>
          <w:szCs w:val="22"/>
        </w:rPr>
        <w:t>INTRODUCTION</w:t>
      </w:r>
    </w:p>
    <w:p w:rsidR="00A83899" w:rsidRDefault="00A83899" w:rsidP="00A83899">
      <w:pPr>
        <w:pStyle w:val="BodyText"/>
        <w:spacing w:before="0" w:beforeAutospacing="0" w:after="0" w:afterAutospacing="0"/>
        <w:jc w:val="both"/>
        <w:rPr>
          <w:sz w:val="20"/>
          <w:szCs w:val="20"/>
        </w:rPr>
      </w:pPr>
    </w:p>
    <w:p w:rsidR="00B700B0" w:rsidRDefault="0074099F" w:rsidP="00BE3CD2">
      <w:pPr>
        <w:pStyle w:val="BodyText"/>
        <w:spacing w:before="0" w:beforeAutospacing="0" w:after="0" w:afterAutospacing="0"/>
        <w:jc w:val="both"/>
        <w:rPr>
          <w:sz w:val="20"/>
          <w:szCs w:val="20"/>
        </w:rPr>
      </w:pPr>
      <w:r w:rsidRPr="0074099F">
        <w:rPr>
          <w:sz w:val="20"/>
          <w:szCs w:val="20"/>
        </w:rPr>
        <w:t>E-commerce is defined as the use of Internet and web and mobile devices to enable</w:t>
      </w:r>
      <w:r>
        <w:rPr>
          <w:sz w:val="20"/>
          <w:szCs w:val="20"/>
        </w:rPr>
        <w:t xml:space="preserve"> </w:t>
      </w:r>
      <w:r w:rsidRPr="0074099F">
        <w:rPr>
          <w:sz w:val="20"/>
          <w:szCs w:val="20"/>
        </w:rPr>
        <w:t xml:space="preserve">commercial transactions between individuals and business </w:t>
      </w:r>
      <w:r>
        <w:rPr>
          <w:sz w:val="20"/>
          <w:szCs w:val="20"/>
        </w:rPr>
        <w:t>[1]. E</w:t>
      </w:r>
      <w:r w:rsidRPr="0074099F">
        <w:rPr>
          <w:sz w:val="20"/>
          <w:szCs w:val="20"/>
        </w:rPr>
        <w:t>-commerce has chan</w:t>
      </w:r>
      <w:r>
        <w:rPr>
          <w:sz w:val="20"/>
          <w:szCs w:val="20"/>
        </w:rPr>
        <w:t xml:space="preserve">ged many things in the business and many companies, </w:t>
      </w:r>
      <w:r w:rsidRPr="0074099F">
        <w:rPr>
          <w:sz w:val="20"/>
          <w:szCs w:val="20"/>
        </w:rPr>
        <w:t>including SMEs</w:t>
      </w:r>
      <w:r>
        <w:rPr>
          <w:sz w:val="20"/>
          <w:szCs w:val="20"/>
        </w:rPr>
        <w:t xml:space="preserve">, </w:t>
      </w:r>
      <w:r w:rsidRPr="0074099F">
        <w:rPr>
          <w:sz w:val="20"/>
          <w:szCs w:val="20"/>
        </w:rPr>
        <w:t xml:space="preserve">are </w:t>
      </w:r>
      <w:r>
        <w:rPr>
          <w:sz w:val="20"/>
          <w:szCs w:val="20"/>
        </w:rPr>
        <w:t>forced</w:t>
      </w:r>
      <w:r w:rsidRPr="0074099F">
        <w:rPr>
          <w:sz w:val="20"/>
          <w:szCs w:val="20"/>
        </w:rPr>
        <w:t xml:space="preserve"> to adopt this technology </w:t>
      </w:r>
      <w:r>
        <w:rPr>
          <w:sz w:val="20"/>
          <w:szCs w:val="20"/>
        </w:rPr>
        <w:t>t</w:t>
      </w:r>
      <w:r w:rsidRPr="0074099F">
        <w:rPr>
          <w:sz w:val="20"/>
          <w:szCs w:val="20"/>
        </w:rPr>
        <w:t>o be able to survive in the new economy businesses</w:t>
      </w:r>
      <w:r>
        <w:rPr>
          <w:sz w:val="20"/>
          <w:szCs w:val="20"/>
        </w:rPr>
        <w:t xml:space="preserve"> [2]. </w:t>
      </w:r>
      <w:r w:rsidR="00EA1972">
        <w:rPr>
          <w:sz w:val="20"/>
          <w:szCs w:val="20"/>
        </w:rPr>
        <w:t xml:space="preserve">The importance of the </w:t>
      </w:r>
      <w:r w:rsidR="00EA1972" w:rsidRPr="00EA1972">
        <w:rPr>
          <w:sz w:val="20"/>
          <w:szCs w:val="20"/>
        </w:rPr>
        <w:t>global e-commerce market</w:t>
      </w:r>
      <w:r w:rsidR="00EA1972">
        <w:rPr>
          <w:sz w:val="20"/>
          <w:szCs w:val="20"/>
        </w:rPr>
        <w:t xml:space="preserve"> can be seen from the fact that it</w:t>
      </w:r>
      <w:r w:rsidR="00EA1972" w:rsidRPr="00EA1972">
        <w:rPr>
          <w:sz w:val="20"/>
          <w:szCs w:val="20"/>
        </w:rPr>
        <w:t xml:space="preserve"> is expected to reach US$ 2.0 trillion in</w:t>
      </w:r>
      <w:r w:rsidR="00EA1972">
        <w:rPr>
          <w:sz w:val="20"/>
          <w:szCs w:val="20"/>
        </w:rPr>
        <w:t xml:space="preserve"> </w:t>
      </w:r>
      <w:r w:rsidR="00EA1972" w:rsidRPr="00EA1972">
        <w:rPr>
          <w:sz w:val="20"/>
          <w:szCs w:val="20"/>
        </w:rPr>
        <w:t>2016, up by 22.3 % from 2015</w:t>
      </w:r>
      <w:r w:rsidR="00EA1972">
        <w:rPr>
          <w:sz w:val="20"/>
          <w:szCs w:val="20"/>
        </w:rPr>
        <w:t xml:space="preserve"> [3].</w:t>
      </w:r>
    </w:p>
    <w:p w:rsidR="00A83899" w:rsidRDefault="00D53681" w:rsidP="00A83899">
      <w:pPr>
        <w:pStyle w:val="BodyText"/>
        <w:spacing w:before="0" w:beforeAutospacing="0" w:after="0" w:afterAutospacing="0"/>
        <w:jc w:val="both"/>
        <w:rPr>
          <w:sz w:val="20"/>
          <w:szCs w:val="20"/>
        </w:rPr>
      </w:pPr>
      <w:r>
        <w:rPr>
          <w:sz w:val="20"/>
          <w:szCs w:val="20"/>
        </w:rPr>
        <w:t xml:space="preserve">The adoption of e-commerce can be considered through different perspectives. One of </w:t>
      </w:r>
      <w:r w:rsidR="00C36B92">
        <w:rPr>
          <w:sz w:val="20"/>
          <w:szCs w:val="20"/>
        </w:rPr>
        <w:t xml:space="preserve">the most important prerequisite for the successful implementation of e-commerce is, in the first place, </w:t>
      </w:r>
      <w:r w:rsidR="00C90B72">
        <w:rPr>
          <w:sz w:val="20"/>
          <w:szCs w:val="20"/>
        </w:rPr>
        <w:t>to ensure the leg</w:t>
      </w:r>
      <w:r w:rsidR="00A83899">
        <w:rPr>
          <w:sz w:val="20"/>
          <w:szCs w:val="20"/>
        </w:rPr>
        <w:t>islative</w:t>
      </w:r>
      <w:r w:rsidR="00C90B72">
        <w:rPr>
          <w:sz w:val="20"/>
          <w:szCs w:val="20"/>
        </w:rPr>
        <w:t xml:space="preserve"> and infrastructural frame</w:t>
      </w:r>
      <w:r w:rsidR="00A83899">
        <w:rPr>
          <w:sz w:val="20"/>
          <w:szCs w:val="20"/>
        </w:rPr>
        <w:t>work</w:t>
      </w:r>
      <w:r w:rsidR="00C90B72">
        <w:rPr>
          <w:sz w:val="20"/>
          <w:szCs w:val="20"/>
        </w:rPr>
        <w:t xml:space="preserve"> required for its functioning</w:t>
      </w:r>
      <w:r w:rsidR="00B73010">
        <w:rPr>
          <w:sz w:val="20"/>
          <w:szCs w:val="20"/>
        </w:rPr>
        <w:t xml:space="preserve"> [</w:t>
      </w:r>
      <w:r w:rsidR="00BE3CD2">
        <w:rPr>
          <w:sz w:val="20"/>
          <w:szCs w:val="20"/>
        </w:rPr>
        <w:t>4</w:t>
      </w:r>
      <w:r w:rsidR="00B73010">
        <w:rPr>
          <w:sz w:val="20"/>
          <w:szCs w:val="20"/>
        </w:rPr>
        <w:t>]</w:t>
      </w:r>
      <w:r w:rsidR="00C90B72">
        <w:rPr>
          <w:sz w:val="20"/>
          <w:szCs w:val="20"/>
        </w:rPr>
        <w:t xml:space="preserve">. Regarding the Republic of Serbia, </w:t>
      </w:r>
      <w:r w:rsidR="007D17CD">
        <w:rPr>
          <w:sz w:val="20"/>
          <w:szCs w:val="20"/>
        </w:rPr>
        <w:t>this matter is regulated by the "</w:t>
      </w:r>
      <w:r w:rsidR="00B36683" w:rsidRPr="00B36683">
        <w:rPr>
          <w:sz w:val="20"/>
          <w:szCs w:val="20"/>
        </w:rPr>
        <w:t>Information Society Development Strategy in the Republic of Serbia until year 2020</w:t>
      </w:r>
      <w:r w:rsidR="007D17CD">
        <w:rPr>
          <w:sz w:val="20"/>
          <w:szCs w:val="20"/>
        </w:rPr>
        <w:t>", a document adopted by the Serbian government in 2010 [</w:t>
      </w:r>
      <w:r w:rsidR="00BE3CD2">
        <w:rPr>
          <w:sz w:val="20"/>
          <w:szCs w:val="20"/>
        </w:rPr>
        <w:t>5</w:t>
      </w:r>
      <w:r w:rsidR="007D17CD">
        <w:rPr>
          <w:sz w:val="20"/>
          <w:szCs w:val="20"/>
        </w:rPr>
        <w:t>].</w:t>
      </w:r>
      <w:r w:rsidR="00C36B92">
        <w:rPr>
          <w:sz w:val="20"/>
          <w:szCs w:val="20"/>
        </w:rPr>
        <w:t xml:space="preserve"> </w:t>
      </w:r>
      <w:r w:rsidR="00EF4FA1">
        <w:rPr>
          <w:sz w:val="20"/>
          <w:szCs w:val="20"/>
        </w:rPr>
        <w:t>One section of this document is dedicated to e-commerce, defining next priorities</w:t>
      </w:r>
      <w:r w:rsidR="00A83899">
        <w:rPr>
          <w:sz w:val="20"/>
          <w:szCs w:val="20"/>
        </w:rPr>
        <w:t xml:space="preserve">: </w:t>
      </w:r>
    </w:p>
    <w:p w:rsidR="00A83899" w:rsidRDefault="001B18E1" w:rsidP="00A83899">
      <w:pPr>
        <w:pStyle w:val="BodyText"/>
        <w:numPr>
          <w:ilvl w:val="0"/>
          <w:numId w:val="3"/>
        </w:numPr>
        <w:spacing w:before="0" w:beforeAutospacing="0" w:after="0" w:afterAutospacing="0"/>
        <w:ind w:left="714" w:hanging="357"/>
        <w:jc w:val="both"/>
        <w:rPr>
          <w:sz w:val="20"/>
          <w:szCs w:val="20"/>
        </w:rPr>
      </w:pPr>
      <w:r>
        <w:rPr>
          <w:sz w:val="20"/>
          <w:szCs w:val="20"/>
        </w:rPr>
        <w:t xml:space="preserve">removal of normative obstacles to e-commerce development, </w:t>
      </w:r>
    </w:p>
    <w:p w:rsidR="00A83899" w:rsidRDefault="001B18E1" w:rsidP="00A83899">
      <w:pPr>
        <w:pStyle w:val="BodyText"/>
        <w:numPr>
          <w:ilvl w:val="0"/>
          <w:numId w:val="3"/>
        </w:numPr>
        <w:spacing w:before="0" w:beforeAutospacing="0" w:after="0" w:afterAutospacing="0"/>
        <w:ind w:left="714" w:hanging="357"/>
        <w:jc w:val="both"/>
        <w:rPr>
          <w:sz w:val="20"/>
          <w:szCs w:val="20"/>
        </w:rPr>
      </w:pPr>
      <w:r>
        <w:rPr>
          <w:sz w:val="20"/>
          <w:szCs w:val="20"/>
        </w:rPr>
        <w:t xml:space="preserve">electronic invoices and electronic payment, </w:t>
      </w:r>
    </w:p>
    <w:p w:rsidR="00A83899" w:rsidRDefault="001B18E1" w:rsidP="00A83899">
      <w:pPr>
        <w:pStyle w:val="BodyText"/>
        <w:numPr>
          <w:ilvl w:val="0"/>
          <w:numId w:val="3"/>
        </w:numPr>
        <w:spacing w:before="0" w:beforeAutospacing="0" w:after="0" w:afterAutospacing="0"/>
        <w:ind w:left="714" w:hanging="357"/>
        <w:jc w:val="both"/>
        <w:rPr>
          <w:sz w:val="20"/>
          <w:szCs w:val="20"/>
        </w:rPr>
      </w:pPr>
      <w:r>
        <w:rPr>
          <w:sz w:val="20"/>
          <w:szCs w:val="20"/>
        </w:rPr>
        <w:t xml:space="preserve">e-commerce development incentive, </w:t>
      </w:r>
    </w:p>
    <w:p w:rsidR="00A83899" w:rsidRDefault="001B18E1" w:rsidP="00A83899">
      <w:pPr>
        <w:pStyle w:val="BodyText"/>
        <w:numPr>
          <w:ilvl w:val="0"/>
          <w:numId w:val="3"/>
        </w:numPr>
        <w:spacing w:before="0" w:beforeAutospacing="0" w:after="0" w:afterAutospacing="0"/>
        <w:ind w:left="714" w:hanging="357"/>
        <w:jc w:val="both"/>
        <w:rPr>
          <w:sz w:val="20"/>
          <w:szCs w:val="20"/>
        </w:rPr>
      </w:pPr>
      <w:r>
        <w:rPr>
          <w:sz w:val="20"/>
          <w:szCs w:val="20"/>
        </w:rPr>
        <w:t xml:space="preserve">e-commerce consumers' protection and </w:t>
      </w:r>
    </w:p>
    <w:p w:rsidR="00A83899" w:rsidRDefault="001B18E1" w:rsidP="00A83899">
      <w:pPr>
        <w:pStyle w:val="BodyText"/>
        <w:numPr>
          <w:ilvl w:val="0"/>
          <w:numId w:val="3"/>
        </w:numPr>
        <w:spacing w:before="0" w:beforeAutospacing="0" w:after="0" w:afterAutospacing="0"/>
        <w:ind w:left="714" w:hanging="357"/>
        <w:jc w:val="both"/>
        <w:rPr>
          <w:sz w:val="20"/>
          <w:szCs w:val="20"/>
        </w:rPr>
      </w:pPr>
      <w:r>
        <w:rPr>
          <w:sz w:val="20"/>
          <w:szCs w:val="20"/>
        </w:rPr>
        <w:t>e-commerce development coordination.</w:t>
      </w:r>
      <w:r w:rsidR="00A83899">
        <w:rPr>
          <w:sz w:val="20"/>
          <w:szCs w:val="20"/>
        </w:rPr>
        <w:t xml:space="preserve"> </w:t>
      </w:r>
    </w:p>
    <w:p w:rsidR="00A83899" w:rsidRDefault="00060226" w:rsidP="00A83899">
      <w:pPr>
        <w:pStyle w:val="BodyText"/>
        <w:spacing w:before="0" w:beforeAutospacing="0" w:after="0" w:afterAutospacing="0"/>
        <w:jc w:val="both"/>
        <w:rPr>
          <w:sz w:val="20"/>
          <w:szCs w:val="20"/>
        </w:rPr>
      </w:pPr>
      <w:r>
        <w:rPr>
          <w:sz w:val="20"/>
          <w:szCs w:val="20"/>
        </w:rPr>
        <w:t>In [</w:t>
      </w:r>
      <w:r w:rsidR="00BE3CD2">
        <w:rPr>
          <w:sz w:val="20"/>
          <w:szCs w:val="20"/>
        </w:rPr>
        <w:t>6</w:t>
      </w:r>
      <w:r>
        <w:rPr>
          <w:sz w:val="20"/>
          <w:szCs w:val="20"/>
        </w:rPr>
        <w:t xml:space="preserve">] </w:t>
      </w:r>
      <w:r w:rsidR="00E35198">
        <w:rPr>
          <w:sz w:val="20"/>
          <w:szCs w:val="20"/>
        </w:rPr>
        <w:t xml:space="preserve">the next </w:t>
      </w:r>
      <w:r w:rsidR="00A83899">
        <w:rPr>
          <w:sz w:val="20"/>
          <w:szCs w:val="20"/>
        </w:rPr>
        <w:t>e</w:t>
      </w:r>
      <w:r w:rsidR="00A83899" w:rsidRPr="00A83899">
        <w:rPr>
          <w:sz w:val="20"/>
          <w:szCs w:val="20"/>
        </w:rPr>
        <w:t>nvironmental factors influencing the rate of B2C e-commerce adoption and diffusion</w:t>
      </w:r>
      <w:r w:rsidR="00A83899">
        <w:rPr>
          <w:sz w:val="20"/>
          <w:szCs w:val="20"/>
        </w:rPr>
        <w:t xml:space="preserve"> </w:t>
      </w:r>
      <w:r w:rsidR="002F1D47">
        <w:rPr>
          <w:sz w:val="20"/>
          <w:szCs w:val="20"/>
        </w:rPr>
        <w:t>were identified</w:t>
      </w:r>
      <w:r w:rsidR="00A83899">
        <w:rPr>
          <w:sz w:val="20"/>
          <w:szCs w:val="20"/>
        </w:rPr>
        <w:t xml:space="preserve">: </w:t>
      </w:r>
    </w:p>
    <w:p w:rsidR="00A83899" w:rsidRDefault="00A83899" w:rsidP="00A83899">
      <w:pPr>
        <w:pStyle w:val="BodyText"/>
        <w:numPr>
          <w:ilvl w:val="0"/>
          <w:numId w:val="3"/>
        </w:numPr>
        <w:spacing w:before="0" w:beforeAutospacing="0" w:after="0" w:afterAutospacing="0"/>
        <w:ind w:left="714" w:hanging="357"/>
        <w:jc w:val="both"/>
        <w:rPr>
          <w:sz w:val="20"/>
          <w:szCs w:val="20"/>
        </w:rPr>
      </w:pPr>
      <w:r w:rsidRPr="00A83899">
        <w:rPr>
          <w:sz w:val="20"/>
          <w:szCs w:val="20"/>
        </w:rPr>
        <w:t>ICT infrastructure</w:t>
      </w:r>
      <w:r>
        <w:rPr>
          <w:sz w:val="20"/>
          <w:szCs w:val="20"/>
        </w:rPr>
        <w:t xml:space="preserve">, </w:t>
      </w:r>
    </w:p>
    <w:p w:rsidR="00A83899" w:rsidRDefault="00A83899" w:rsidP="00A83899">
      <w:pPr>
        <w:pStyle w:val="BodyText"/>
        <w:numPr>
          <w:ilvl w:val="0"/>
          <w:numId w:val="3"/>
        </w:numPr>
        <w:spacing w:before="0" w:beforeAutospacing="0" w:after="0" w:afterAutospacing="0"/>
        <w:ind w:left="714" w:hanging="357"/>
        <w:jc w:val="both"/>
        <w:rPr>
          <w:sz w:val="20"/>
          <w:szCs w:val="20"/>
        </w:rPr>
      </w:pPr>
      <w:r w:rsidRPr="00A83899">
        <w:rPr>
          <w:sz w:val="20"/>
          <w:szCs w:val="20"/>
        </w:rPr>
        <w:t>online payment mechanisms</w:t>
      </w:r>
      <w:r>
        <w:rPr>
          <w:sz w:val="20"/>
          <w:szCs w:val="20"/>
        </w:rPr>
        <w:t xml:space="preserve">, </w:t>
      </w:r>
    </w:p>
    <w:p w:rsidR="00A83899" w:rsidRDefault="00A83899" w:rsidP="00A83899">
      <w:pPr>
        <w:pStyle w:val="BodyText"/>
        <w:numPr>
          <w:ilvl w:val="0"/>
          <w:numId w:val="3"/>
        </w:numPr>
        <w:spacing w:before="0" w:beforeAutospacing="0" w:after="0" w:afterAutospacing="0"/>
        <w:ind w:left="714" w:hanging="357"/>
        <w:jc w:val="both"/>
        <w:rPr>
          <w:sz w:val="20"/>
          <w:szCs w:val="20"/>
        </w:rPr>
      </w:pPr>
      <w:r w:rsidRPr="00A83899">
        <w:rPr>
          <w:sz w:val="20"/>
          <w:szCs w:val="20"/>
        </w:rPr>
        <w:t>the degree of credit cards penetration</w:t>
      </w:r>
      <w:r>
        <w:rPr>
          <w:sz w:val="20"/>
          <w:szCs w:val="20"/>
        </w:rPr>
        <w:t xml:space="preserve">, </w:t>
      </w:r>
    </w:p>
    <w:p w:rsidR="00A83899" w:rsidRDefault="00A83899" w:rsidP="00A83899">
      <w:pPr>
        <w:pStyle w:val="BodyText"/>
        <w:numPr>
          <w:ilvl w:val="0"/>
          <w:numId w:val="3"/>
        </w:numPr>
        <w:spacing w:before="0" w:beforeAutospacing="0" w:after="0" w:afterAutospacing="0"/>
        <w:ind w:left="714" w:hanging="357"/>
        <w:jc w:val="both"/>
        <w:rPr>
          <w:sz w:val="20"/>
          <w:szCs w:val="20"/>
        </w:rPr>
      </w:pPr>
      <w:r w:rsidRPr="00A83899">
        <w:rPr>
          <w:sz w:val="20"/>
          <w:szCs w:val="20"/>
        </w:rPr>
        <w:t>legislative and regulatory framework</w:t>
      </w:r>
      <w:r>
        <w:rPr>
          <w:sz w:val="20"/>
          <w:szCs w:val="20"/>
        </w:rPr>
        <w:t xml:space="preserve">, </w:t>
      </w:r>
    </w:p>
    <w:p w:rsidR="00A83899" w:rsidRDefault="00A83899" w:rsidP="00A83899">
      <w:pPr>
        <w:pStyle w:val="BodyText"/>
        <w:numPr>
          <w:ilvl w:val="0"/>
          <w:numId w:val="3"/>
        </w:numPr>
        <w:spacing w:before="0" w:beforeAutospacing="0" w:after="0" w:afterAutospacing="0"/>
        <w:ind w:left="714" w:hanging="357"/>
        <w:jc w:val="both"/>
        <w:rPr>
          <w:sz w:val="20"/>
          <w:szCs w:val="20"/>
        </w:rPr>
      </w:pPr>
      <w:r w:rsidRPr="00A83899">
        <w:rPr>
          <w:sz w:val="20"/>
          <w:szCs w:val="20"/>
        </w:rPr>
        <w:t xml:space="preserve">logistics </w:t>
      </w:r>
      <w:r>
        <w:rPr>
          <w:sz w:val="20"/>
          <w:szCs w:val="20"/>
        </w:rPr>
        <w:t>i</w:t>
      </w:r>
      <w:r w:rsidRPr="00A83899">
        <w:rPr>
          <w:sz w:val="20"/>
          <w:szCs w:val="20"/>
        </w:rPr>
        <w:t>nfrastructure</w:t>
      </w:r>
      <w:r>
        <w:rPr>
          <w:sz w:val="20"/>
          <w:szCs w:val="20"/>
        </w:rPr>
        <w:t xml:space="preserve"> and </w:t>
      </w:r>
    </w:p>
    <w:p w:rsidR="00725C5D" w:rsidRDefault="00A83899" w:rsidP="00A83899">
      <w:pPr>
        <w:pStyle w:val="BodyText"/>
        <w:numPr>
          <w:ilvl w:val="0"/>
          <w:numId w:val="3"/>
        </w:numPr>
        <w:spacing w:before="0" w:beforeAutospacing="0" w:after="0" w:afterAutospacing="0"/>
        <w:ind w:left="714" w:hanging="357"/>
        <w:jc w:val="both"/>
        <w:rPr>
          <w:sz w:val="20"/>
          <w:szCs w:val="20"/>
        </w:rPr>
      </w:pPr>
      <w:r w:rsidRPr="00A83899">
        <w:rPr>
          <w:sz w:val="20"/>
          <w:szCs w:val="20"/>
        </w:rPr>
        <w:t>education and awareness</w:t>
      </w:r>
      <w:r>
        <w:rPr>
          <w:sz w:val="20"/>
          <w:szCs w:val="20"/>
        </w:rPr>
        <w:t>.</w:t>
      </w:r>
    </w:p>
    <w:p w:rsidR="000C5211" w:rsidRDefault="000C5211" w:rsidP="008C531C">
      <w:pPr>
        <w:pStyle w:val="BodyText"/>
        <w:spacing w:before="0" w:beforeAutospacing="0" w:after="0" w:afterAutospacing="0"/>
        <w:jc w:val="both"/>
        <w:rPr>
          <w:sz w:val="20"/>
          <w:szCs w:val="20"/>
        </w:rPr>
      </w:pPr>
      <w:r>
        <w:rPr>
          <w:sz w:val="20"/>
          <w:szCs w:val="20"/>
        </w:rPr>
        <w:t>The problem of e-commerce adoption can be also considered from the enterprises point of view. In [</w:t>
      </w:r>
      <w:r w:rsidR="00BE3CD2">
        <w:rPr>
          <w:sz w:val="20"/>
          <w:szCs w:val="20"/>
        </w:rPr>
        <w:t>7</w:t>
      </w:r>
      <w:r>
        <w:rPr>
          <w:sz w:val="20"/>
          <w:szCs w:val="20"/>
        </w:rPr>
        <w:t>] the authors mention</w:t>
      </w:r>
      <w:r w:rsidR="008C531C">
        <w:rPr>
          <w:sz w:val="20"/>
          <w:szCs w:val="20"/>
        </w:rPr>
        <w:t>ed</w:t>
      </w:r>
      <w:r>
        <w:rPr>
          <w:sz w:val="20"/>
          <w:szCs w:val="20"/>
        </w:rPr>
        <w:t xml:space="preserve"> that </w:t>
      </w:r>
      <w:r w:rsidR="008C531C">
        <w:rPr>
          <w:sz w:val="20"/>
          <w:szCs w:val="20"/>
        </w:rPr>
        <w:t>studies investigating t</w:t>
      </w:r>
      <w:r w:rsidRPr="000C5211">
        <w:rPr>
          <w:sz w:val="20"/>
          <w:szCs w:val="20"/>
        </w:rPr>
        <w:t xml:space="preserve">he adoption of e-commerce activities </w:t>
      </w:r>
      <w:r w:rsidR="008C531C">
        <w:rPr>
          <w:sz w:val="20"/>
          <w:szCs w:val="20"/>
        </w:rPr>
        <w:t xml:space="preserve">denote factors </w:t>
      </w:r>
      <w:r w:rsidRPr="000C5211">
        <w:rPr>
          <w:sz w:val="20"/>
          <w:szCs w:val="20"/>
        </w:rPr>
        <w:t xml:space="preserve">such as the quality of underlying ICT infrastructure, internal </w:t>
      </w:r>
      <w:r w:rsidR="008C531C" w:rsidRPr="000C5211">
        <w:rPr>
          <w:sz w:val="20"/>
          <w:szCs w:val="20"/>
        </w:rPr>
        <w:t>organization</w:t>
      </w:r>
      <w:r w:rsidRPr="000C5211">
        <w:rPr>
          <w:sz w:val="20"/>
          <w:szCs w:val="20"/>
        </w:rPr>
        <w:t xml:space="preserve">, ICT skills, adjustment costs, uncertainties surrounding e-commerce, competitive pressure, trading partner readiness, and perceived strategic value for the firm to be important determinants for both business-to-business and </w:t>
      </w:r>
      <w:r w:rsidR="008C531C">
        <w:rPr>
          <w:sz w:val="20"/>
          <w:szCs w:val="20"/>
        </w:rPr>
        <w:t>business-to-consumer e-commerce.</w:t>
      </w:r>
    </w:p>
    <w:p w:rsidR="00B60CB1" w:rsidRDefault="00C47333" w:rsidP="0031275F">
      <w:pPr>
        <w:pStyle w:val="BodyText"/>
        <w:spacing w:before="0" w:beforeAutospacing="0" w:after="0" w:afterAutospacing="0"/>
        <w:jc w:val="both"/>
        <w:rPr>
          <w:sz w:val="20"/>
          <w:szCs w:val="20"/>
        </w:rPr>
      </w:pPr>
      <w:r>
        <w:rPr>
          <w:sz w:val="20"/>
          <w:szCs w:val="20"/>
        </w:rPr>
        <w:t xml:space="preserve">The third e-commerce adoption perception is the one that focus on the consumer. </w:t>
      </w:r>
      <w:r w:rsidR="007E7CEA">
        <w:rPr>
          <w:sz w:val="20"/>
          <w:szCs w:val="20"/>
        </w:rPr>
        <w:t xml:space="preserve">Different approaches can be applied to analyze this topic. One of them is based on TAM (Technology Acceptance Model), a theory that </w:t>
      </w:r>
      <w:r w:rsidR="00CF5B3F">
        <w:rPr>
          <w:sz w:val="20"/>
          <w:szCs w:val="20"/>
        </w:rPr>
        <w:t>intends</w:t>
      </w:r>
      <w:r w:rsidR="007E7CEA">
        <w:rPr>
          <w:sz w:val="20"/>
          <w:szCs w:val="20"/>
        </w:rPr>
        <w:t xml:space="preserve"> to explain the individual behavior regarding computer use. This model</w:t>
      </w:r>
      <w:r w:rsidR="00CF5B3F">
        <w:rPr>
          <w:sz w:val="20"/>
          <w:szCs w:val="20"/>
        </w:rPr>
        <w:t xml:space="preserve"> explains the attitude of the computer user faced with a new technology by defining that users' decision about how and when they will use it depends on perceived usefulness and perceived easy-of-use [8]. </w:t>
      </w:r>
      <w:r w:rsidR="00173F78">
        <w:rPr>
          <w:sz w:val="20"/>
          <w:szCs w:val="20"/>
        </w:rPr>
        <w:t xml:space="preserve">In this paper, the authors </w:t>
      </w:r>
      <w:r w:rsidR="003656DB">
        <w:rPr>
          <w:sz w:val="20"/>
          <w:szCs w:val="20"/>
        </w:rPr>
        <w:t xml:space="preserve">investigated the level of e-commerce adoption by the NSSB students by analyzing, on one side, some of the ICT indicators related to the use of ICT and Internet, and on the other side, </w:t>
      </w:r>
      <w:r w:rsidR="00845B70">
        <w:rPr>
          <w:sz w:val="20"/>
          <w:szCs w:val="20"/>
        </w:rPr>
        <w:t>students'</w:t>
      </w:r>
      <w:r w:rsidR="003656DB">
        <w:rPr>
          <w:sz w:val="20"/>
          <w:szCs w:val="20"/>
        </w:rPr>
        <w:t xml:space="preserve"> activities related to buying/ordering over the Internet.  </w:t>
      </w:r>
    </w:p>
    <w:p w:rsidR="000C5211" w:rsidRPr="007931F7" w:rsidRDefault="000C5211" w:rsidP="00725C5D">
      <w:pPr>
        <w:jc w:val="both"/>
        <w:rPr>
          <w:sz w:val="20"/>
          <w:szCs w:val="20"/>
        </w:rPr>
      </w:pPr>
    </w:p>
    <w:p w:rsidR="00725C5D" w:rsidRPr="007931F7" w:rsidRDefault="00725C5D" w:rsidP="00725C5D">
      <w:pPr>
        <w:jc w:val="both"/>
        <w:rPr>
          <w:b/>
          <w:sz w:val="22"/>
          <w:szCs w:val="22"/>
        </w:rPr>
      </w:pPr>
      <w:r w:rsidRPr="007931F7">
        <w:rPr>
          <w:b/>
          <w:sz w:val="22"/>
          <w:szCs w:val="22"/>
        </w:rPr>
        <w:t xml:space="preserve">2. </w:t>
      </w:r>
      <w:r w:rsidR="00AB5FD7" w:rsidRPr="007931F7">
        <w:rPr>
          <w:b/>
          <w:sz w:val="22"/>
          <w:szCs w:val="22"/>
        </w:rPr>
        <w:t>RESEARCH METHODOLOGY</w:t>
      </w:r>
    </w:p>
    <w:p w:rsidR="007931F7" w:rsidRDefault="007931F7" w:rsidP="007931F7">
      <w:pPr>
        <w:jc w:val="both"/>
        <w:rPr>
          <w:sz w:val="20"/>
          <w:szCs w:val="22"/>
        </w:rPr>
      </w:pPr>
    </w:p>
    <w:p w:rsidR="007931F7" w:rsidRDefault="007931F7" w:rsidP="007931F7">
      <w:pPr>
        <w:jc w:val="both"/>
        <w:rPr>
          <w:sz w:val="20"/>
          <w:szCs w:val="22"/>
        </w:rPr>
      </w:pPr>
      <w:r w:rsidRPr="007931F7">
        <w:rPr>
          <w:sz w:val="20"/>
          <w:szCs w:val="22"/>
        </w:rPr>
        <w:t xml:space="preserve">The data presented in this paper </w:t>
      </w:r>
      <w:r>
        <w:rPr>
          <w:sz w:val="20"/>
          <w:szCs w:val="22"/>
        </w:rPr>
        <w:t xml:space="preserve">originate from three different sources. </w:t>
      </w:r>
      <w:r w:rsidR="00254099">
        <w:rPr>
          <w:sz w:val="20"/>
          <w:szCs w:val="22"/>
        </w:rPr>
        <w:t>The first one was</w:t>
      </w:r>
      <w:r w:rsidR="001B0E28">
        <w:rPr>
          <w:sz w:val="20"/>
          <w:szCs w:val="22"/>
        </w:rPr>
        <w:t xml:space="preserve"> the </w:t>
      </w:r>
      <w:r w:rsidR="001B0E28" w:rsidRPr="001B0E28">
        <w:rPr>
          <w:sz w:val="20"/>
          <w:szCs w:val="22"/>
        </w:rPr>
        <w:t>Statistical Office of the Republic of Serbia</w:t>
      </w:r>
      <w:r w:rsidR="001B0E28">
        <w:rPr>
          <w:sz w:val="20"/>
          <w:szCs w:val="22"/>
        </w:rPr>
        <w:t xml:space="preserve">, </w:t>
      </w:r>
      <w:r w:rsidR="00254099">
        <w:rPr>
          <w:sz w:val="20"/>
          <w:szCs w:val="22"/>
        </w:rPr>
        <w:t>providing data about</w:t>
      </w:r>
      <w:r w:rsidR="001B0E28">
        <w:rPr>
          <w:sz w:val="20"/>
          <w:szCs w:val="22"/>
        </w:rPr>
        <w:t xml:space="preserve"> the usage of the Information and Communication Technology in the Republic of Serbia in the period from 2011 to 2016. [</w:t>
      </w:r>
      <w:r w:rsidR="00255BD5">
        <w:rPr>
          <w:sz w:val="20"/>
          <w:szCs w:val="22"/>
        </w:rPr>
        <w:t>9,10,11,12,13,14</w:t>
      </w:r>
      <w:r w:rsidR="001B0E28">
        <w:rPr>
          <w:sz w:val="20"/>
          <w:szCs w:val="22"/>
        </w:rPr>
        <w:t xml:space="preserve">] </w:t>
      </w:r>
      <w:r w:rsidR="00254099" w:rsidRPr="00254099">
        <w:rPr>
          <w:sz w:val="20"/>
          <w:szCs w:val="22"/>
        </w:rPr>
        <w:t xml:space="preserve">The survey was conducted by phone </w:t>
      </w:r>
      <w:r w:rsidR="00254099">
        <w:rPr>
          <w:sz w:val="20"/>
          <w:szCs w:val="22"/>
        </w:rPr>
        <w:t>and t</w:t>
      </w:r>
      <w:r w:rsidR="00254099" w:rsidRPr="00254099">
        <w:rPr>
          <w:sz w:val="20"/>
          <w:szCs w:val="22"/>
        </w:rPr>
        <w:t>he sample coverage was 2400 h</w:t>
      </w:r>
      <w:r w:rsidR="00254099">
        <w:rPr>
          <w:sz w:val="20"/>
          <w:szCs w:val="22"/>
        </w:rPr>
        <w:t>ouseholds and 2400 individuals in each of the mentioned years.</w:t>
      </w:r>
    </w:p>
    <w:p w:rsidR="005C24C9" w:rsidRDefault="00254099" w:rsidP="007931F7">
      <w:pPr>
        <w:jc w:val="both"/>
        <w:rPr>
          <w:sz w:val="20"/>
          <w:szCs w:val="22"/>
        </w:rPr>
      </w:pPr>
      <w:r>
        <w:rPr>
          <w:sz w:val="20"/>
          <w:szCs w:val="22"/>
        </w:rPr>
        <w:t>The second set of data was extracted from the database of the European portal Eurostat</w:t>
      </w:r>
      <w:r w:rsidR="007B19D6">
        <w:rPr>
          <w:sz w:val="20"/>
          <w:szCs w:val="22"/>
        </w:rPr>
        <w:t xml:space="preserve">. [x] Most of them are related to the </w:t>
      </w:r>
      <w:r w:rsidR="00B03DDE">
        <w:rPr>
          <w:sz w:val="20"/>
          <w:szCs w:val="22"/>
        </w:rPr>
        <w:t>Digital</w:t>
      </w:r>
      <w:r w:rsidR="007B19D6">
        <w:rPr>
          <w:sz w:val="20"/>
          <w:szCs w:val="22"/>
        </w:rPr>
        <w:t xml:space="preserve"> Society indicators referring to the period from 2011 to 2016 for the 28 European Union countries</w:t>
      </w:r>
      <w:r w:rsidR="00A0159F">
        <w:rPr>
          <w:sz w:val="20"/>
          <w:szCs w:val="22"/>
        </w:rPr>
        <w:t xml:space="preserve"> (in further text Europe-28)</w:t>
      </w:r>
      <w:r w:rsidR="007B19D6">
        <w:rPr>
          <w:sz w:val="20"/>
          <w:szCs w:val="22"/>
        </w:rPr>
        <w:t>.</w:t>
      </w:r>
      <w:r w:rsidR="005C24C9">
        <w:rPr>
          <w:sz w:val="20"/>
          <w:szCs w:val="22"/>
        </w:rPr>
        <w:t xml:space="preserve"> </w:t>
      </w:r>
    </w:p>
    <w:p w:rsidR="007B19D6" w:rsidRDefault="005C24C9" w:rsidP="007931F7">
      <w:pPr>
        <w:jc w:val="both"/>
        <w:rPr>
          <w:sz w:val="20"/>
          <w:szCs w:val="22"/>
        </w:rPr>
      </w:pPr>
      <w:r>
        <w:rPr>
          <w:sz w:val="20"/>
          <w:szCs w:val="22"/>
        </w:rPr>
        <w:t>Regarding the first two set of data, some of the indicators were not available for all of the previously mentioned period.</w:t>
      </w:r>
    </w:p>
    <w:p w:rsidR="00254099" w:rsidRDefault="007B19D6" w:rsidP="007931F7">
      <w:pPr>
        <w:jc w:val="both"/>
        <w:rPr>
          <w:sz w:val="20"/>
          <w:szCs w:val="22"/>
        </w:rPr>
      </w:pPr>
      <w:r>
        <w:rPr>
          <w:sz w:val="20"/>
          <w:szCs w:val="22"/>
        </w:rPr>
        <w:t>The last data set was gathered conducting a survey in which took part second year students of the Novi Sad School of Business</w:t>
      </w:r>
      <w:r w:rsidR="00FF3219">
        <w:rPr>
          <w:sz w:val="20"/>
          <w:szCs w:val="22"/>
        </w:rPr>
        <w:t xml:space="preserve"> (NSSB)</w:t>
      </w:r>
      <w:r>
        <w:rPr>
          <w:sz w:val="20"/>
          <w:szCs w:val="22"/>
        </w:rPr>
        <w:t xml:space="preserve">. The </w:t>
      </w:r>
      <w:r w:rsidR="00B03DDE">
        <w:rPr>
          <w:sz w:val="20"/>
          <w:szCs w:val="22"/>
        </w:rPr>
        <w:t>questionnaire was designed to be in concordance with the content and the structure of the questionnaires used by Eurostat for the Digital Society theme.</w:t>
      </w:r>
      <w:r w:rsidR="000F0C1C">
        <w:rPr>
          <w:sz w:val="20"/>
          <w:szCs w:val="22"/>
        </w:rPr>
        <w:t xml:space="preserve"> Thus, it was possible to compare</w:t>
      </w:r>
      <w:r w:rsidR="00CD41EB">
        <w:rPr>
          <w:sz w:val="20"/>
          <w:szCs w:val="22"/>
        </w:rPr>
        <w:t xml:space="preserve"> those data with the ones that originated from the </w:t>
      </w:r>
      <w:r w:rsidR="00CD41EB" w:rsidRPr="001B0E28">
        <w:rPr>
          <w:sz w:val="20"/>
          <w:szCs w:val="22"/>
        </w:rPr>
        <w:t>Statistical Office of the Republic of Serbia</w:t>
      </w:r>
      <w:r w:rsidR="00CD41EB">
        <w:rPr>
          <w:sz w:val="20"/>
          <w:szCs w:val="22"/>
        </w:rPr>
        <w:t xml:space="preserve"> and the Eurostat portal. The surveys were conducted from 2011 to 2016, while the sample coverages were </w:t>
      </w:r>
      <w:r w:rsidR="00CD41EB" w:rsidRPr="00CD41EB">
        <w:rPr>
          <w:sz w:val="20"/>
          <w:szCs w:val="22"/>
        </w:rPr>
        <w:t>respectively</w:t>
      </w:r>
      <w:r w:rsidR="00CD41EB">
        <w:rPr>
          <w:sz w:val="20"/>
          <w:szCs w:val="22"/>
        </w:rPr>
        <w:t xml:space="preserve"> </w:t>
      </w:r>
      <w:r w:rsidR="00CD41EB" w:rsidRPr="00CD41EB">
        <w:rPr>
          <w:sz w:val="20"/>
          <w:szCs w:val="22"/>
        </w:rPr>
        <w:t>200, 227, 135, 185</w:t>
      </w:r>
      <w:r w:rsidR="00CD41EB">
        <w:rPr>
          <w:sz w:val="20"/>
          <w:szCs w:val="22"/>
        </w:rPr>
        <w:t>,</w:t>
      </w:r>
      <w:r w:rsidR="00CD41EB" w:rsidRPr="00CD41EB">
        <w:rPr>
          <w:sz w:val="20"/>
          <w:szCs w:val="22"/>
        </w:rPr>
        <w:t xml:space="preserve"> 20</w:t>
      </w:r>
      <w:r w:rsidR="00BB6BB2">
        <w:rPr>
          <w:sz w:val="20"/>
          <w:szCs w:val="22"/>
        </w:rPr>
        <w:t>9</w:t>
      </w:r>
      <w:r w:rsidR="00CD41EB">
        <w:rPr>
          <w:sz w:val="20"/>
          <w:szCs w:val="22"/>
        </w:rPr>
        <w:t xml:space="preserve"> and 98. To achieve the </w:t>
      </w:r>
      <w:r w:rsidR="00DE7C5A">
        <w:rPr>
          <w:sz w:val="20"/>
          <w:szCs w:val="22"/>
        </w:rPr>
        <w:t>closest</w:t>
      </w:r>
      <w:r w:rsidR="00CD41EB">
        <w:rPr>
          <w:sz w:val="20"/>
          <w:szCs w:val="22"/>
        </w:rPr>
        <w:t xml:space="preserve"> match of </w:t>
      </w:r>
      <w:r w:rsidR="00DE7C5A">
        <w:rPr>
          <w:sz w:val="20"/>
          <w:szCs w:val="22"/>
        </w:rPr>
        <w:t xml:space="preserve">data coming from the three sources, we selected from the </w:t>
      </w:r>
      <w:r w:rsidR="00DE7C5A" w:rsidRPr="001B0E28">
        <w:rPr>
          <w:sz w:val="20"/>
          <w:szCs w:val="22"/>
        </w:rPr>
        <w:t>Statistical Office of the Republic of Serbia</w:t>
      </w:r>
      <w:r w:rsidR="00DE7C5A">
        <w:rPr>
          <w:sz w:val="20"/>
          <w:szCs w:val="22"/>
        </w:rPr>
        <w:t xml:space="preserve"> and Eurostat data referring to the population aged from 16 to 24.</w:t>
      </w:r>
    </w:p>
    <w:p w:rsidR="00254099" w:rsidRPr="007931F7" w:rsidRDefault="00254099" w:rsidP="007931F7">
      <w:pPr>
        <w:jc w:val="both"/>
        <w:rPr>
          <w:sz w:val="20"/>
          <w:szCs w:val="22"/>
        </w:rPr>
      </w:pPr>
    </w:p>
    <w:p w:rsidR="00725C5D" w:rsidRPr="007931F7" w:rsidRDefault="00725C5D" w:rsidP="00725C5D">
      <w:pPr>
        <w:jc w:val="both"/>
        <w:rPr>
          <w:sz w:val="20"/>
        </w:rPr>
      </w:pPr>
    </w:p>
    <w:p w:rsidR="00AB5FD7" w:rsidRPr="007931F7" w:rsidRDefault="00AB5FD7" w:rsidP="00725C5D">
      <w:pPr>
        <w:jc w:val="both"/>
        <w:rPr>
          <w:b/>
          <w:sz w:val="22"/>
          <w:szCs w:val="22"/>
        </w:rPr>
      </w:pPr>
      <w:r w:rsidRPr="007931F7">
        <w:rPr>
          <w:b/>
          <w:sz w:val="22"/>
          <w:szCs w:val="22"/>
        </w:rPr>
        <w:t xml:space="preserve">3. DATA </w:t>
      </w:r>
      <w:r w:rsidR="002675A8">
        <w:rPr>
          <w:b/>
          <w:sz w:val="22"/>
          <w:szCs w:val="22"/>
        </w:rPr>
        <w:t xml:space="preserve">PRESENTATION AND </w:t>
      </w:r>
      <w:r w:rsidRPr="007931F7">
        <w:rPr>
          <w:b/>
          <w:sz w:val="22"/>
          <w:szCs w:val="22"/>
        </w:rPr>
        <w:t>ANALYSIS</w:t>
      </w:r>
    </w:p>
    <w:p w:rsidR="00AB5FD7" w:rsidRDefault="00AB5FD7" w:rsidP="00725C5D">
      <w:pPr>
        <w:jc w:val="both"/>
        <w:rPr>
          <w:b/>
          <w:sz w:val="22"/>
          <w:szCs w:val="22"/>
        </w:rPr>
      </w:pPr>
    </w:p>
    <w:p w:rsidR="007931F7" w:rsidRDefault="002675A8" w:rsidP="002675A8">
      <w:pPr>
        <w:jc w:val="both"/>
        <w:rPr>
          <w:sz w:val="20"/>
          <w:szCs w:val="22"/>
        </w:rPr>
      </w:pPr>
      <w:r w:rsidRPr="002675A8">
        <w:rPr>
          <w:sz w:val="20"/>
          <w:szCs w:val="22"/>
        </w:rPr>
        <w:t>Since one of the most important prerequisite</w:t>
      </w:r>
      <w:r>
        <w:rPr>
          <w:sz w:val="20"/>
          <w:szCs w:val="22"/>
        </w:rPr>
        <w:t xml:space="preserve"> of e-commerce usage is </w:t>
      </w:r>
      <w:r w:rsidR="0092553E">
        <w:rPr>
          <w:sz w:val="20"/>
          <w:szCs w:val="22"/>
        </w:rPr>
        <w:t>having</w:t>
      </w:r>
      <w:r w:rsidR="00297EAA">
        <w:rPr>
          <w:sz w:val="20"/>
          <w:szCs w:val="22"/>
        </w:rPr>
        <w:t xml:space="preserve"> </w:t>
      </w:r>
      <w:r w:rsidR="00FF3219">
        <w:rPr>
          <w:sz w:val="20"/>
          <w:szCs w:val="22"/>
        </w:rPr>
        <w:t>access to</w:t>
      </w:r>
      <w:r w:rsidR="00297EAA">
        <w:rPr>
          <w:sz w:val="20"/>
          <w:szCs w:val="22"/>
        </w:rPr>
        <w:t xml:space="preserve"> a computer and an Internet connection, the first presented data will cover that topic.</w:t>
      </w:r>
      <w:r w:rsidRPr="002675A8">
        <w:rPr>
          <w:sz w:val="20"/>
          <w:szCs w:val="22"/>
        </w:rPr>
        <w:t xml:space="preserve"> </w:t>
      </w:r>
      <w:r w:rsidR="001554E9">
        <w:rPr>
          <w:sz w:val="20"/>
          <w:szCs w:val="22"/>
        </w:rPr>
        <w:t xml:space="preserve">The first indicator is about households having access to a computer and regarding NSSB students, it didn't show significant changes during the last six years. For the year 2016 97.96% of NSSN students had access to a computer in their households. </w:t>
      </w:r>
      <w:r w:rsidR="00923E88">
        <w:rPr>
          <w:sz w:val="20"/>
          <w:szCs w:val="22"/>
        </w:rPr>
        <w:t xml:space="preserve">NSSB values for this indicator </w:t>
      </w:r>
      <w:r w:rsidR="00B71C31">
        <w:rPr>
          <w:sz w:val="20"/>
          <w:szCs w:val="22"/>
        </w:rPr>
        <w:t xml:space="preserve">in the period from 2011 to 2016 </w:t>
      </w:r>
      <w:r w:rsidR="00923E88">
        <w:rPr>
          <w:sz w:val="20"/>
          <w:szCs w:val="22"/>
        </w:rPr>
        <w:t xml:space="preserve">are higher than the ones relative to the 28 European Union countries and Republic of Serbia (figure 1). </w:t>
      </w:r>
    </w:p>
    <w:p w:rsidR="0005076C" w:rsidRDefault="0005076C" w:rsidP="00D64D3F">
      <w:pPr>
        <w:jc w:val="center"/>
        <w:rPr>
          <w:b/>
          <w:sz w:val="20"/>
          <w:szCs w:val="20"/>
        </w:rPr>
      </w:pPr>
    </w:p>
    <w:p w:rsidR="0005076C" w:rsidRDefault="0005076C" w:rsidP="00D64D3F">
      <w:pPr>
        <w:jc w:val="center"/>
        <w:rPr>
          <w:b/>
          <w:sz w:val="20"/>
          <w:szCs w:val="20"/>
        </w:rPr>
      </w:pPr>
      <w:r w:rsidRPr="0005076C">
        <w:rPr>
          <w:b/>
          <w:noProof/>
          <w:sz w:val="20"/>
          <w:szCs w:val="20"/>
        </w:rPr>
        <w:drawing>
          <wp:inline distT="0" distB="0" distL="0" distR="0">
            <wp:extent cx="5755171" cy="2608028"/>
            <wp:effectExtent l="19050" t="0" r="16979" b="182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076C" w:rsidRDefault="0005076C" w:rsidP="00D64D3F">
      <w:pPr>
        <w:jc w:val="center"/>
        <w:rPr>
          <w:b/>
          <w:sz w:val="20"/>
          <w:szCs w:val="20"/>
        </w:rPr>
      </w:pPr>
    </w:p>
    <w:p w:rsidR="0005076C" w:rsidRDefault="0005076C" w:rsidP="00D64D3F">
      <w:pPr>
        <w:jc w:val="center"/>
        <w:rPr>
          <w:b/>
          <w:sz w:val="20"/>
          <w:szCs w:val="20"/>
        </w:rPr>
      </w:pPr>
    </w:p>
    <w:p w:rsidR="0005076C" w:rsidRPr="00923E88" w:rsidRDefault="0005076C" w:rsidP="0005076C">
      <w:pPr>
        <w:jc w:val="center"/>
        <w:rPr>
          <w:sz w:val="20"/>
          <w:szCs w:val="20"/>
        </w:rPr>
      </w:pPr>
      <w:r w:rsidRPr="00923E88">
        <w:rPr>
          <w:b/>
          <w:sz w:val="20"/>
          <w:szCs w:val="20"/>
        </w:rPr>
        <w:t xml:space="preserve">Figure 1: </w:t>
      </w:r>
      <w:r w:rsidRPr="00923E88">
        <w:rPr>
          <w:sz w:val="20"/>
          <w:szCs w:val="20"/>
        </w:rPr>
        <w:t>Percentage of households having access to a computer</w:t>
      </w: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p>
    <w:p w:rsidR="0005076C" w:rsidRDefault="0005076C" w:rsidP="00D64D3F">
      <w:pPr>
        <w:jc w:val="center"/>
        <w:rPr>
          <w:b/>
          <w:sz w:val="20"/>
          <w:szCs w:val="20"/>
        </w:rPr>
      </w:pPr>
      <w:r w:rsidRPr="0005076C">
        <w:rPr>
          <w:b/>
          <w:noProof/>
          <w:sz w:val="20"/>
          <w:szCs w:val="20"/>
        </w:rPr>
        <w:drawing>
          <wp:inline distT="0" distB="0" distL="0" distR="0">
            <wp:extent cx="5968282" cy="2703444"/>
            <wp:effectExtent l="19050" t="0" r="13418" b="1656"/>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076C" w:rsidRDefault="0005076C" w:rsidP="00D64D3F">
      <w:pPr>
        <w:jc w:val="center"/>
        <w:rPr>
          <w:b/>
          <w:sz w:val="20"/>
          <w:szCs w:val="20"/>
        </w:rPr>
      </w:pPr>
    </w:p>
    <w:p w:rsidR="00D64D3F" w:rsidRPr="00923E88" w:rsidRDefault="00D64D3F" w:rsidP="00D64D3F">
      <w:pPr>
        <w:jc w:val="center"/>
        <w:rPr>
          <w:sz w:val="20"/>
          <w:szCs w:val="20"/>
        </w:rPr>
      </w:pPr>
      <w:r w:rsidRPr="00923E88">
        <w:rPr>
          <w:b/>
          <w:sz w:val="20"/>
          <w:szCs w:val="20"/>
        </w:rPr>
        <w:t xml:space="preserve">Figure </w:t>
      </w:r>
      <w:r>
        <w:rPr>
          <w:b/>
          <w:sz w:val="20"/>
          <w:szCs w:val="20"/>
        </w:rPr>
        <w:t>2</w:t>
      </w:r>
      <w:r w:rsidRPr="00923E88">
        <w:rPr>
          <w:b/>
          <w:sz w:val="20"/>
          <w:szCs w:val="20"/>
        </w:rPr>
        <w:t xml:space="preserve">: </w:t>
      </w:r>
      <w:r w:rsidRPr="00923E88">
        <w:rPr>
          <w:sz w:val="20"/>
          <w:szCs w:val="20"/>
        </w:rPr>
        <w:t xml:space="preserve">Percentage of households having access to </w:t>
      </w:r>
      <w:r>
        <w:rPr>
          <w:sz w:val="20"/>
          <w:szCs w:val="20"/>
        </w:rPr>
        <w:t>Internet</w:t>
      </w:r>
    </w:p>
    <w:p w:rsidR="00D64D3F" w:rsidRDefault="00D64D3F" w:rsidP="002675A8">
      <w:pPr>
        <w:jc w:val="both"/>
        <w:rPr>
          <w:sz w:val="20"/>
          <w:szCs w:val="22"/>
        </w:rPr>
      </w:pPr>
    </w:p>
    <w:p w:rsidR="000E4BE7" w:rsidRDefault="000E4BE7" w:rsidP="002675A8">
      <w:pPr>
        <w:jc w:val="both"/>
        <w:rPr>
          <w:sz w:val="20"/>
          <w:szCs w:val="22"/>
        </w:rPr>
      </w:pPr>
    </w:p>
    <w:p w:rsidR="000E4BE7" w:rsidRDefault="000E4BE7" w:rsidP="002675A8">
      <w:pPr>
        <w:jc w:val="both"/>
        <w:rPr>
          <w:sz w:val="20"/>
          <w:szCs w:val="22"/>
        </w:rPr>
      </w:pPr>
    </w:p>
    <w:p w:rsidR="00B71C31" w:rsidRPr="002675A8" w:rsidRDefault="00B71C31" w:rsidP="002675A8">
      <w:pPr>
        <w:jc w:val="both"/>
        <w:rPr>
          <w:sz w:val="20"/>
          <w:szCs w:val="22"/>
        </w:rPr>
      </w:pPr>
      <w:r>
        <w:rPr>
          <w:sz w:val="20"/>
          <w:szCs w:val="22"/>
        </w:rPr>
        <w:t xml:space="preserve">The second indicator, also being an important precondition for the e-commerce usage, is the one showing the percentage of households having access to Internet. The data are here similar to the previous ones, in the year 2016 93.88% of NSSB students' households had access to Internet. </w:t>
      </w:r>
      <w:r w:rsidR="008B4EB1">
        <w:rPr>
          <w:sz w:val="20"/>
          <w:szCs w:val="22"/>
        </w:rPr>
        <w:t>Although in the last six year there were periods of stagnation, and even decline of th</w:t>
      </w:r>
      <w:r w:rsidR="0092553E">
        <w:rPr>
          <w:sz w:val="20"/>
          <w:szCs w:val="22"/>
        </w:rPr>
        <w:t>ose</w:t>
      </w:r>
      <w:r w:rsidR="008B4EB1">
        <w:rPr>
          <w:sz w:val="20"/>
          <w:szCs w:val="22"/>
        </w:rPr>
        <w:t xml:space="preserve"> percentage</w:t>
      </w:r>
      <w:r w:rsidR="0092553E">
        <w:rPr>
          <w:sz w:val="20"/>
          <w:szCs w:val="22"/>
        </w:rPr>
        <w:t>s</w:t>
      </w:r>
      <w:r w:rsidR="008B4EB1">
        <w:rPr>
          <w:sz w:val="20"/>
          <w:szCs w:val="22"/>
        </w:rPr>
        <w:t xml:space="preserve">, </w:t>
      </w:r>
      <w:r w:rsidR="0092553E">
        <w:rPr>
          <w:sz w:val="20"/>
          <w:szCs w:val="22"/>
        </w:rPr>
        <w:t>they are</w:t>
      </w:r>
      <w:r w:rsidR="008B4EB1">
        <w:rPr>
          <w:sz w:val="20"/>
          <w:szCs w:val="22"/>
        </w:rPr>
        <w:t xml:space="preserve"> still higher for the same period than </w:t>
      </w:r>
      <w:r w:rsidR="0092553E">
        <w:rPr>
          <w:sz w:val="20"/>
          <w:szCs w:val="22"/>
        </w:rPr>
        <w:t>they were</w:t>
      </w:r>
      <w:r w:rsidR="008B4EB1">
        <w:rPr>
          <w:sz w:val="20"/>
          <w:szCs w:val="22"/>
        </w:rPr>
        <w:t xml:space="preserve"> in the 28 European Union countries and Republic of Serbia </w:t>
      </w:r>
      <w:r w:rsidR="0092553E">
        <w:rPr>
          <w:sz w:val="20"/>
          <w:szCs w:val="22"/>
        </w:rPr>
        <w:t xml:space="preserve">as well </w:t>
      </w:r>
      <w:r w:rsidR="008B4EB1">
        <w:rPr>
          <w:sz w:val="20"/>
          <w:szCs w:val="22"/>
        </w:rPr>
        <w:t>(figure 2).</w:t>
      </w:r>
    </w:p>
    <w:p w:rsidR="00DA1B85" w:rsidRDefault="006C76FF" w:rsidP="00725C5D">
      <w:pPr>
        <w:jc w:val="both"/>
        <w:rPr>
          <w:sz w:val="20"/>
          <w:szCs w:val="22"/>
        </w:rPr>
      </w:pPr>
      <w:r w:rsidRPr="006C76FF">
        <w:rPr>
          <w:sz w:val="20"/>
          <w:szCs w:val="22"/>
        </w:rPr>
        <w:t>Regarding the devices</w:t>
      </w:r>
      <w:r>
        <w:rPr>
          <w:sz w:val="20"/>
          <w:szCs w:val="22"/>
        </w:rPr>
        <w:t xml:space="preserve"> used to access Internet from home</w:t>
      </w:r>
      <w:r w:rsidR="00506838">
        <w:rPr>
          <w:sz w:val="20"/>
          <w:szCs w:val="22"/>
        </w:rPr>
        <w:t xml:space="preserve"> (table 1)</w:t>
      </w:r>
      <w:r>
        <w:rPr>
          <w:sz w:val="20"/>
          <w:szCs w:val="22"/>
        </w:rPr>
        <w:t xml:space="preserve">, NSSB students were using in the year 2016 most often their mobile </w:t>
      </w:r>
      <w:r w:rsidR="00506838">
        <w:rPr>
          <w:sz w:val="20"/>
          <w:szCs w:val="22"/>
        </w:rPr>
        <w:t xml:space="preserve">phone (89.13%) which represents a growth of 75.24% comparing to the year 2011. The laptop is ranked on the second place (77.17%), also showing a growth, but less significant (36.06%). We should also mention </w:t>
      </w:r>
      <w:r w:rsidR="00670AB4">
        <w:rPr>
          <w:sz w:val="20"/>
          <w:szCs w:val="22"/>
        </w:rPr>
        <w:t xml:space="preserve">the tablets, introduced as </w:t>
      </w:r>
      <w:r w:rsidR="00506838">
        <w:rPr>
          <w:sz w:val="20"/>
          <w:szCs w:val="22"/>
        </w:rPr>
        <w:t xml:space="preserve">a new </w:t>
      </w:r>
      <w:r w:rsidR="00B6347C">
        <w:rPr>
          <w:sz w:val="20"/>
          <w:szCs w:val="22"/>
        </w:rPr>
        <w:t xml:space="preserve">device </w:t>
      </w:r>
      <w:r w:rsidR="00506838">
        <w:rPr>
          <w:sz w:val="20"/>
          <w:szCs w:val="22"/>
        </w:rPr>
        <w:t xml:space="preserve">category </w:t>
      </w:r>
      <w:r w:rsidR="00670AB4">
        <w:rPr>
          <w:sz w:val="20"/>
          <w:szCs w:val="22"/>
        </w:rPr>
        <w:t xml:space="preserve">two years ago, with a percentage of 35.87%. It is obvious that students are showing much more interest to use mobile devices, while the use of desktop computers to access Internet is almost the same (69.57%) in the year 2016 as it was in the year 2011 (73.33%). </w:t>
      </w:r>
    </w:p>
    <w:p w:rsidR="006C76FF" w:rsidRDefault="006C76FF" w:rsidP="00725C5D">
      <w:pPr>
        <w:jc w:val="both"/>
        <w:rPr>
          <w:sz w:val="20"/>
          <w:szCs w:val="22"/>
        </w:rPr>
      </w:pPr>
    </w:p>
    <w:p w:rsidR="006C76FF" w:rsidRPr="006C76FF" w:rsidRDefault="006C76FF" w:rsidP="006C76FF">
      <w:pPr>
        <w:jc w:val="center"/>
        <w:rPr>
          <w:b/>
          <w:sz w:val="20"/>
          <w:szCs w:val="22"/>
        </w:rPr>
      </w:pPr>
      <w:r>
        <w:rPr>
          <w:b/>
          <w:sz w:val="20"/>
          <w:szCs w:val="22"/>
        </w:rPr>
        <w:t xml:space="preserve">Table 1: </w:t>
      </w:r>
      <w:r w:rsidRPr="006C76FF">
        <w:rPr>
          <w:sz w:val="20"/>
          <w:szCs w:val="22"/>
        </w:rPr>
        <w:t xml:space="preserve">Devices </w:t>
      </w:r>
      <w:r>
        <w:rPr>
          <w:sz w:val="20"/>
          <w:szCs w:val="22"/>
        </w:rPr>
        <w:t xml:space="preserve">used </w:t>
      </w:r>
      <w:r w:rsidRPr="006C76FF">
        <w:rPr>
          <w:sz w:val="20"/>
          <w:szCs w:val="22"/>
        </w:rPr>
        <w:t>to access Internet from home</w:t>
      </w:r>
      <w:r>
        <w:rPr>
          <w:sz w:val="20"/>
          <w:szCs w:val="22"/>
        </w:rPr>
        <w:t xml:space="preserve"> (year 2016)</w:t>
      </w:r>
    </w:p>
    <w:tbl>
      <w:tblPr>
        <w:tblW w:w="5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960"/>
        <w:gridCol w:w="960"/>
      </w:tblGrid>
      <w:tr w:rsidR="006C76FF" w:rsidRPr="006C76FF" w:rsidTr="006C76FF">
        <w:trPr>
          <w:trHeight w:val="300"/>
          <w:jc w:val="center"/>
        </w:trPr>
        <w:tc>
          <w:tcPr>
            <w:tcW w:w="3780" w:type="dxa"/>
            <w:tcBorders>
              <w:top w:val="nil"/>
              <w:left w:val="nil"/>
            </w:tcBorders>
            <w:shd w:val="clear" w:color="auto" w:fill="auto"/>
            <w:noWrap/>
            <w:vAlign w:val="bottom"/>
          </w:tcPr>
          <w:p w:rsidR="006C76FF" w:rsidRPr="006C76FF" w:rsidRDefault="006C76FF">
            <w:pPr>
              <w:rPr>
                <w:color w:val="000000"/>
                <w:sz w:val="20"/>
                <w:szCs w:val="20"/>
              </w:rPr>
            </w:pPr>
          </w:p>
        </w:tc>
        <w:tc>
          <w:tcPr>
            <w:tcW w:w="960" w:type="dxa"/>
            <w:shd w:val="clear" w:color="auto" w:fill="auto"/>
            <w:noWrap/>
            <w:vAlign w:val="bottom"/>
          </w:tcPr>
          <w:p w:rsidR="006C76FF" w:rsidRPr="006C76FF" w:rsidRDefault="006C76FF" w:rsidP="006C76FF">
            <w:pPr>
              <w:jc w:val="center"/>
              <w:rPr>
                <w:b/>
                <w:color w:val="000000"/>
                <w:sz w:val="20"/>
                <w:szCs w:val="20"/>
              </w:rPr>
            </w:pPr>
            <w:r w:rsidRPr="006C76FF">
              <w:rPr>
                <w:b/>
                <w:color w:val="000000"/>
                <w:sz w:val="20"/>
                <w:szCs w:val="20"/>
              </w:rPr>
              <w:t>NSSB</w:t>
            </w:r>
          </w:p>
        </w:tc>
        <w:tc>
          <w:tcPr>
            <w:tcW w:w="960" w:type="dxa"/>
            <w:shd w:val="clear" w:color="auto" w:fill="auto"/>
            <w:noWrap/>
            <w:vAlign w:val="bottom"/>
          </w:tcPr>
          <w:p w:rsidR="006C76FF" w:rsidRPr="006C76FF" w:rsidRDefault="006C76FF" w:rsidP="006C76FF">
            <w:pPr>
              <w:jc w:val="center"/>
              <w:rPr>
                <w:b/>
                <w:color w:val="000000"/>
                <w:sz w:val="20"/>
                <w:szCs w:val="20"/>
              </w:rPr>
            </w:pPr>
            <w:r w:rsidRPr="006C76FF">
              <w:rPr>
                <w:b/>
                <w:color w:val="000000"/>
                <w:sz w:val="20"/>
                <w:szCs w:val="20"/>
              </w:rPr>
              <w:t>Serbia</w:t>
            </w:r>
          </w:p>
        </w:tc>
      </w:tr>
      <w:tr w:rsidR="006C76FF" w:rsidRPr="006C76FF" w:rsidTr="006C76FF">
        <w:trPr>
          <w:trHeight w:val="300"/>
          <w:jc w:val="center"/>
        </w:trPr>
        <w:tc>
          <w:tcPr>
            <w:tcW w:w="3780" w:type="dxa"/>
            <w:shd w:val="clear" w:color="auto" w:fill="auto"/>
            <w:noWrap/>
            <w:vAlign w:val="center"/>
            <w:hideMark/>
          </w:tcPr>
          <w:p w:rsidR="006C76FF" w:rsidRPr="006C76FF" w:rsidRDefault="006C76FF" w:rsidP="006C76FF">
            <w:pPr>
              <w:rPr>
                <w:color w:val="000000"/>
                <w:sz w:val="20"/>
                <w:szCs w:val="20"/>
              </w:rPr>
            </w:pPr>
            <w:r w:rsidRPr="006C76FF">
              <w:rPr>
                <w:color w:val="000000"/>
                <w:sz w:val="20"/>
                <w:szCs w:val="20"/>
              </w:rPr>
              <w:t>Mobile phone</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89</w:t>
            </w:r>
            <w:r w:rsidR="00506838">
              <w:rPr>
                <w:color w:val="000000"/>
                <w:sz w:val="20"/>
                <w:szCs w:val="20"/>
              </w:rPr>
              <w:t>.</w:t>
            </w:r>
            <w:r w:rsidRPr="006C76FF">
              <w:rPr>
                <w:color w:val="000000"/>
                <w:sz w:val="20"/>
                <w:szCs w:val="20"/>
              </w:rPr>
              <w:t>13%</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92</w:t>
            </w:r>
            <w:r w:rsidR="00506838">
              <w:rPr>
                <w:color w:val="000000"/>
                <w:sz w:val="20"/>
                <w:szCs w:val="20"/>
              </w:rPr>
              <w:t>.</w:t>
            </w:r>
            <w:r w:rsidRPr="006C76FF">
              <w:rPr>
                <w:color w:val="000000"/>
                <w:sz w:val="20"/>
                <w:szCs w:val="20"/>
              </w:rPr>
              <w:t>20%</w:t>
            </w:r>
          </w:p>
        </w:tc>
      </w:tr>
      <w:tr w:rsidR="006C76FF" w:rsidRPr="006C76FF" w:rsidTr="006C76FF">
        <w:trPr>
          <w:trHeight w:val="300"/>
          <w:jc w:val="center"/>
        </w:trPr>
        <w:tc>
          <w:tcPr>
            <w:tcW w:w="3780" w:type="dxa"/>
            <w:shd w:val="clear" w:color="auto" w:fill="auto"/>
            <w:noWrap/>
            <w:vAlign w:val="center"/>
            <w:hideMark/>
          </w:tcPr>
          <w:p w:rsidR="006C76FF" w:rsidRPr="006C76FF" w:rsidRDefault="006C76FF" w:rsidP="006C76FF">
            <w:pPr>
              <w:rPr>
                <w:color w:val="000000"/>
                <w:sz w:val="20"/>
                <w:szCs w:val="20"/>
              </w:rPr>
            </w:pPr>
            <w:r w:rsidRPr="006C76FF">
              <w:rPr>
                <w:color w:val="000000"/>
                <w:sz w:val="20"/>
                <w:szCs w:val="20"/>
              </w:rPr>
              <w:t>Laptop</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77</w:t>
            </w:r>
            <w:r w:rsidR="00506838">
              <w:rPr>
                <w:color w:val="000000"/>
                <w:sz w:val="20"/>
                <w:szCs w:val="20"/>
              </w:rPr>
              <w:t>.</w:t>
            </w:r>
            <w:r w:rsidRPr="006C76FF">
              <w:rPr>
                <w:color w:val="000000"/>
                <w:sz w:val="20"/>
                <w:szCs w:val="20"/>
              </w:rPr>
              <w:t>17%</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49</w:t>
            </w:r>
            <w:r w:rsidR="00506838">
              <w:rPr>
                <w:color w:val="000000"/>
                <w:sz w:val="20"/>
                <w:szCs w:val="20"/>
              </w:rPr>
              <w:t>.</w:t>
            </w:r>
            <w:r w:rsidRPr="006C76FF">
              <w:rPr>
                <w:color w:val="000000"/>
                <w:sz w:val="20"/>
                <w:szCs w:val="20"/>
              </w:rPr>
              <w:t>00%</w:t>
            </w:r>
          </w:p>
        </w:tc>
      </w:tr>
      <w:tr w:rsidR="006C76FF" w:rsidRPr="006C76FF" w:rsidTr="006C76FF">
        <w:trPr>
          <w:trHeight w:val="300"/>
          <w:jc w:val="center"/>
        </w:trPr>
        <w:tc>
          <w:tcPr>
            <w:tcW w:w="3780" w:type="dxa"/>
            <w:shd w:val="clear" w:color="auto" w:fill="auto"/>
            <w:noWrap/>
            <w:vAlign w:val="center"/>
            <w:hideMark/>
          </w:tcPr>
          <w:p w:rsidR="006C76FF" w:rsidRPr="006C76FF" w:rsidRDefault="006C76FF" w:rsidP="006C76FF">
            <w:pPr>
              <w:rPr>
                <w:color w:val="000000"/>
                <w:sz w:val="20"/>
                <w:szCs w:val="20"/>
              </w:rPr>
            </w:pPr>
            <w:r w:rsidRPr="006C76FF">
              <w:rPr>
                <w:color w:val="000000"/>
                <w:sz w:val="20"/>
                <w:szCs w:val="20"/>
              </w:rPr>
              <w:t>Desktop computer</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69</w:t>
            </w:r>
            <w:r w:rsidR="00506838">
              <w:rPr>
                <w:color w:val="000000"/>
                <w:sz w:val="20"/>
                <w:szCs w:val="20"/>
              </w:rPr>
              <w:t>.</w:t>
            </w:r>
            <w:r w:rsidRPr="006C76FF">
              <w:rPr>
                <w:color w:val="000000"/>
                <w:sz w:val="20"/>
                <w:szCs w:val="20"/>
              </w:rPr>
              <w:t>57%</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79</w:t>
            </w:r>
            <w:r w:rsidR="00506838">
              <w:rPr>
                <w:color w:val="000000"/>
                <w:sz w:val="20"/>
                <w:szCs w:val="20"/>
              </w:rPr>
              <w:t>.</w:t>
            </w:r>
            <w:r w:rsidRPr="006C76FF">
              <w:rPr>
                <w:color w:val="000000"/>
                <w:sz w:val="20"/>
                <w:szCs w:val="20"/>
              </w:rPr>
              <w:t>50%</w:t>
            </w:r>
          </w:p>
        </w:tc>
      </w:tr>
      <w:tr w:rsidR="006C76FF" w:rsidRPr="006C76FF" w:rsidTr="006C76FF">
        <w:trPr>
          <w:trHeight w:val="300"/>
          <w:jc w:val="center"/>
        </w:trPr>
        <w:tc>
          <w:tcPr>
            <w:tcW w:w="3780" w:type="dxa"/>
            <w:shd w:val="clear" w:color="auto" w:fill="auto"/>
            <w:noWrap/>
            <w:vAlign w:val="center"/>
            <w:hideMark/>
          </w:tcPr>
          <w:p w:rsidR="006C76FF" w:rsidRPr="006C76FF" w:rsidRDefault="006C76FF" w:rsidP="006C76FF">
            <w:pPr>
              <w:rPr>
                <w:color w:val="000000"/>
                <w:sz w:val="20"/>
                <w:szCs w:val="20"/>
              </w:rPr>
            </w:pPr>
            <w:r w:rsidRPr="006C76FF">
              <w:rPr>
                <w:color w:val="000000"/>
                <w:sz w:val="20"/>
                <w:szCs w:val="20"/>
              </w:rPr>
              <w:t>Tablet</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35</w:t>
            </w:r>
            <w:r w:rsidR="00506838">
              <w:rPr>
                <w:color w:val="000000"/>
                <w:sz w:val="20"/>
                <w:szCs w:val="20"/>
              </w:rPr>
              <w:t>.</w:t>
            </w:r>
            <w:r w:rsidRPr="006C76FF">
              <w:rPr>
                <w:color w:val="000000"/>
                <w:sz w:val="20"/>
                <w:szCs w:val="20"/>
              </w:rPr>
              <w:t>87%</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19</w:t>
            </w:r>
            <w:r w:rsidR="00506838">
              <w:rPr>
                <w:color w:val="000000"/>
                <w:sz w:val="20"/>
                <w:szCs w:val="20"/>
              </w:rPr>
              <w:t>.</w:t>
            </w:r>
            <w:r w:rsidRPr="006C76FF">
              <w:rPr>
                <w:color w:val="000000"/>
                <w:sz w:val="20"/>
                <w:szCs w:val="20"/>
              </w:rPr>
              <w:t>30%</w:t>
            </w:r>
          </w:p>
        </w:tc>
      </w:tr>
      <w:tr w:rsidR="006C76FF" w:rsidRPr="006C76FF" w:rsidTr="006C76FF">
        <w:trPr>
          <w:trHeight w:val="300"/>
          <w:jc w:val="center"/>
        </w:trPr>
        <w:tc>
          <w:tcPr>
            <w:tcW w:w="3780" w:type="dxa"/>
            <w:shd w:val="clear" w:color="auto" w:fill="auto"/>
            <w:noWrap/>
            <w:vAlign w:val="center"/>
            <w:hideMark/>
          </w:tcPr>
          <w:p w:rsidR="006C76FF" w:rsidRPr="006C76FF" w:rsidRDefault="006C76FF" w:rsidP="006C76FF">
            <w:pPr>
              <w:rPr>
                <w:color w:val="000000"/>
                <w:sz w:val="20"/>
                <w:szCs w:val="20"/>
              </w:rPr>
            </w:pPr>
            <w:r w:rsidRPr="006C76FF">
              <w:rPr>
                <w:color w:val="000000"/>
                <w:sz w:val="20"/>
                <w:szCs w:val="20"/>
              </w:rPr>
              <w:t>Smart TV</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13</w:t>
            </w:r>
            <w:r w:rsidR="00506838">
              <w:rPr>
                <w:color w:val="000000"/>
                <w:sz w:val="20"/>
                <w:szCs w:val="20"/>
              </w:rPr>
              <w:t>.</w:t>
            </w:r>
            <w:r w:rsidRPr="006C76FF">
              <w:rPr>
                <w:color w:val="000000"/>
                <w:sz w:val="20"/>
                <w:szCs w:val="20"/>
              </w:rPr>
              <w:t>04%</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9</w:t>
            </w:r>
            <w:r w:rsidR="00506838">
              <w:rPr>
                <w:color w:val="000000"/>
                <w:sz w:val="20"/>
                <w:szCs w:val="20"/>
              </w:rPr>
              <w:t>.</w:t>
            </w:r>
            <w:r w:rsidRPr="006C76FF">
              <w:rPr>
                <w:color w:val="000000"/>
                <w:sz w:val="20"/>
                <w:szCs w:val="20"/>
              </w:rPr>
              <w:t>60%</w:t>
            </w:r>
          </w:p>
        </w:tc>
      </w:tr>
      <w:tr w:rsidR="006C76FF" w:rsidRPr="006C76FF" w:rsidTr="006C76FF">
        <w:trPr>
          <w:trHeight w:val="300"/>
          <w:jc w:val="center"/>
        </w:trPr>
        <w:tc>
          <w:tcPr>
            <w:tcW w:w="3780" w:type="dxa"/>
            <w:shd w:val="clear" w:color="auto" w:fill="auto"/>
            <w:noWrap/>
            <w:vAlign w:val="center"/>
            <w:hideMark/>
          </w:tcPr>
          <w:p w:rsidR="006C76FF" w:rsidRPr="006C76FF" w:rsidRDefault="006C76FF" w:rsidP="006C76FF">
            <w:pPr>
              <w:rPr>
                <w:color w:val="000000"/>
                <w:sz w:val="20"/>
                <w:szCs w:val="20"/>
              </w:rPr>
            </w:pPr>
            <w:r w:rsidRPr="006C76FF">
              <w:rPr>
                <w:color w:val="000000"/>
                <w:sz w:val="20"/>
                <w:szCs w:val="20"/>
              </w:rPr>
              <w:t>Other mobile devices</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2</w:t>
            </w:r>
            <w:r w:rsidR="00506838">
              <w:rPr>
                <w:color w:val="000000"/>
                <w:sz w:val="20"/>
                <w:szCs w:val="20"/>
              </w:rPr>
              <w:t>.</w:t>
            </w:r>
            <w:r w:rsidRPr="006C76FF">
              <w:rPr>
                <w:color w:val="000000"/>
                <w:sz w:val="20"/>
                <w:szCs w:val="20"/>
              </w:rPr>
              <w:t>17%</w:t>
            </w:r>
          </w:p>
        </w:tc>
        <w:tc>
          <w:tcPr>
            <w:tcW w:w="960" w:type="dxa"/>
            <w:shd w:val="clear" w:color="auto" w:fill="auto"/>
            <w:noWrap/>
            <w:vAlign w:val="center"/>
            <w:hideMark/>
          </w:tcPr>
          <w:p w:rsidR="006C76FF" w:rsidRPr="006C76FF" w:rsidRDefault="006C76FF" w:rsidP="006C76FF">
            <w:pPr>
              <w:jc w:val="center"/>
              <w:rPr>
                <w:color w:val="000000"/>
                <w:sz w:val="20"/>
                <w:szCs w:val="20"/>
              </w:rPr>
            </w:pPr>
            <w:r w:rsidRPr="006C76FF">
              <w:rPr>
                <w:color w:val="000000"/>
                <w:sz w:val="20"/>
                <w:szCs w:val="20"/>
              </w:rPr>
              <w:t>0</w:t>
            </w:r>
            <w:r w:rsidR="00506838">
              <w:rPr>
                <w:color w:val="000000"/>
                <w:sz w:val="20"/>
                <w:szCs w:val="20"/>
              </w:rPr>
              <w:t>.</w:t>
            </w:r>
            <w:r w:rsidRPr="006C76FF">
              <w:rPr>
                <w:color w:val="000000"/>
                <w:sz w:val="20"/>
                <w:szCs w:val="20"/>
              </w:rPr>
              <w:t>90%</w:t>
            </w:r>
          </w:p>
        </w:tc>
      </w:tr>
    </w:tbl>
    <w:p w:rsidR="006C76FF" w:rsidRPr="006C76FF" w:rsidRDefault="006C76FF" w:rsidP="00725C5D">
      <w:pPr>
        <w:jc w:val="both"/>
        <w:rPr>
          <w:sz w:val="20"/>
          <w:szCs w:val="22"/>
        </w:rPr>
      </w:pPr>
    </w:p>
    <w:p w:rsidR="00DA1B85" w:rsidRPr="003C50D4" w:rsidRDefault="003C50D4" w:rsidP="00725C5D">
      <w:pPr>
        <w:jc w:val="both"/>
        <w:rPr>
          <w:sz w:val="20"/>
          <w:szCs w:val="20"/>
        </w:rPr>
      </w:pPr>
      <w:r>
        <w:rPr>
          <w:sz w:val="20"/>
          <w:szCs w:val="20"/>
        </w:rPr>
        <w:t>Similar conclusions about the penetration of mobile devices can be drawn from the data concerning the type of Internet connection used by NSSB students</w:t>
      </w:r>
      <w:r w:rsidR="00644AA6">
        <w:rPr>
          <w:sz w:val="20"/>
          <w:szCs w:val="20"/>
        </w:rPr>
        <w:t xml:space="preserve"> (figure 3)</w:t>
      </w:r>
      <w:r>
        <w:rPr>
          <w:sz w:val="20"/>
          <w:szCs w:val="20"/>
        </w:rPr>
        <w:t xml:space="preserve">. </w:t>
      </w:r>
      <w:r w:rsidR="001B4373">
        <w:rPr>
          <w:sz w:val="20"/>
          <w:szCs w:val="20"/>
        </w:rPr>
        <w:t xml:space="preserve">Outdated types of Internet connections such as dial-up modems and mobile phones connected via GPRS are on the ones that are the less used and this situation didn't change in the last six years. While the use of dial-up modems is remaining the same in this period, 10.00% in 2011 comparing to 9.78% in 2016, the use of mobile phone </w:t>
      </w:r>
      <w:r w:rsidR="00FC6B6E">
        <w:rPr>
          <w:sz w:val="20"/>
          <w:szCs w:val="20"/>
        </w:rPr>
        <w:t xml:space="preserve">with GPRS connection is constantly reducing </w:t>
      </w:r>
      <w:r w:rsidR="00644AA6">
        <w:rPr>
          <w:sz w:val="20"/>
          <w:szCs w:val="20"/>
        </w:rPr>
        <w:t>reaching only 3.26% in 2016 comparing to 14.44% in 2011. The ADSL type of connection slightly varied in the last 6 years</w:t>
      </w:r>
      <w:r w:rsidR="001A003E">
        <w:rPr>
          <w:sz w:val="20"/>
          <w:szCs w:val="20"/>
        </w:rPr>
        <w:t xml:space="preserve">, in the interval from 48.53% to 62.22%, showing however lately a small decline. </w:t>
      </w:r>
      <w:r w:rsidR="0033285C">
        <w:rPr>
          <w:sz w:val="20"/>
          <w:szCs w:val="20"/>
        </w:rPr>
        <w:t>T</w:t>
      </w:r>
      <w:r w:rsidR="001A003E">
        <w:rPr>
          <w:sz w:val="20"/>
          <w:szCs w:val="20"/>
        </w:rPr>
        <w:t xml:space="preserve">he </w:t>
      </w:r>
      <w:r w:rsidR="0033285C">
        <w:rPr>
          <w:sz w:val="20"/>
          <w:szCs w:val="20"/>
        </w:rPr>
        <w:t xml:space="preserve">use of the </w:t>
      </w:r>
      <w:r w:rsidR="001A003E">
        <w:rPr>
          <w:sz w:val="20"/>
          <w:szCs w:val="20"/>
        </w:rPr>
        <w:t>cable technology internet connection</w:t>
      </w:r>
      <w:r w:rsidR="0033285C">
        <w:rPr>
          <w:sz w:val="20"/>
          <w:szCs w:val="20"/>
        </w:rPr>
        <w:t xml:space="preserve"> didn't change a lot as well from 2011 to 2016, but opposite to ADSL, it is showing a growth from 24.44% to 38.04%. The most significant change concerning the type of Internet connection is </w:t>
      </w:r>
      <w:r w:rsidR="00C474AC">
        <w:rPr>
          <w:sz w:val="20"/>
          <w:szCs w:val="20"/>
        </w:rPr>
        <w:t>the considerable growth of the 3G mobile phone internet connection</w:t>
      </w:r>
      <w:r w:rsidR="0033285C">
        <w:rPr>
          <w:sz w:val="20"/>
          <w:szCs w:val="20"/>
        </w:rPr>
        <w:t xml:space="preserve"> </w:t>
      </w:r>
      <w:r w:rsidR="00C474AC">
        <w:rPr>
          <w:sz w:val="20"/>
          <w:szCs w:val="20"/>
        </w:rPr>
        <w:t>from 7.78% in 2011 to 44.57% in 2016.</w:t>
      </w:r>
    </w:p>
    <w:p w:rsidR="00577179" w:rsidRDefault="00826100" w:rsidP="00725C5D">
      <w:pPr>
        <w:jc w:val="both"/>
        <w:rPr>
          <w:b/>
          <w:sz w:val="22"/>
          <w:szCs w:val="22"/>
        </w:rPr>
      </w:pPr>
      <w:r>
        <w:rPr>
          <w:b/>
          <w:noProof/>
          <w:sz w:val="22"/>
          <w:szCs w:val="22"/>
        </w:rPr>
        <w:drawing>
          <wp:anchor distT="0" distB="0" distL="114300" distR="114300" simplePos="0" relativeHeight="251658752" behindDoc="0" locked="0" layoutInCell="1" allowOverlap="1">
            <wp:simplePos x="0" y="0"/>
            <wp:positionH relativeFrom="column">
              <wp:posOffset>1098550</wp:posOffset>
            </wp:positionH>
            <wp:positionV relativeFrom="paragraph">
              <wp:posOffset>187325</wp:posOffset>
            </wp:positionV>
            <wp:extent cx="4065270" cy="2206625"/>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065270" cy="2206625"/>
                    </a:xfrm>
                    <a:prstGeom prst="rect">
                      <a:avLst/>
                    </a:prstGeom>
                    <a:noFill/>
                  </pic:spPr>
                </pic:pic>
              </a:graphicData>
            </a:graphic>
          </wp:anchor>
        </w:drawing>
      </w:r>
    </w:p>
    <w:p w:rsidR="00577179" w:rsidRPr="00923E88" w:rsidRDefault="00577179" w:rsidP="00577179">
      <w:pPr>
        <w:jc w:val="center"/>
        <w:rPr>
          <w:sz w:val="20"/>
          <w:szCs w:val="20"/>
        </w:rPr>
      </w:pPr>
      <w:r w:rsidRPr="00923E88">
        <w:rPr>
          <w:b/>
          <w:sz w:val="20"/>
          <w:szCs w:val="20"/>
        </w:rPr>
        <w:t xml:space="preserve">Figure </w:t>
      </w:r>
      <w:r>
        <w:rPr>
          <w:b/>
          <w:sz w:val="20"/>
          <w:szCs w:val="20"/>
        </w:rPr>
        <w:t>3</w:t>
      </w:r>
      <w:r w:rsidRPr="00923E88">
        <w:rPr>
          <w:b/>
          <w:sz w:val="20"/>
          <w:szCs w:val="20"/>
        </w:rPr>
        <w:t xml:space="preserve">: </w:t>
      </w:r>
      <w:r>
        <w:rPr>
          <w:sz w:val="20"/>
          <w:szCs w:val="20"/>
        </w:rPr>
        <w:t>Type of Internet connection for NSSB students</w:t>
      </w:r>
    </w:p>
    <w:p w:rsidR="00577179" w:rsidRDefault="00577179" w:rsidP="00725C5D">
      <w:pPr>
        <w:jc w:val="both"/>
        <w:rPr>
          <w:sz w:val="20"/>
          <w:szCs w:val="20"/>
        </w:rPr>
      </w:pPr>
    </w:p>
    <w:p w:rsidR="00A22514" w:rsidRDefault="00A339AE" w:rsidP="00725C5D">
      <w:pPr>
        <w:jc w:val="both"/>
        <w:rPr>
          <w:sz w:val="20"/>
          <w:szCs w:val="20"/>
        </w:rPr>
      </w:pPr>
      <w:r>
        <w:rPr>
          <w:sz w:val="20"/>
          <w:szCs w:val="20"/>
        </w:rPr>
        <w:t>Before analyzing the behavior of NSSB students while using Internet, we will present some data about how frequently they use it. Concerning the last Internet access, 97.96% of NSSB students used Internet in the last three months. This percentage has been constantly high in the last 6 years, reaching</w:t>
      </w:r>
      <w:r w:rsidR="00C4372E" w:rsidRPr="00C4372E">
        <w:rPr>
          <w:sz w:val="20"/>
          <w:szCs w:val="20"/>
        </w:rPr>
        <w:t xml:space="preserve"> </w:t>
      </w:r>
      <w:r w:rsidR="00C4372E">
        <w:rPr>
          <w:sz w:val="20"/>
          <w:szCs w:val="20"/>
        </w:rPr>
        <w:t>even</w:t>
      </w:r>
      <w:r>
        <w:rPr>
          <w:sz w:val="20"/>
          <w:szCs w:val="20"/>
        </w:rPr>
        <w:t xml:space="preserve"> 100% in 2014 and 2015.</w:t>
      </w:r>
      <w:r w:rsidR="00C4372E">
        <w:rPr>
          <w:sz w:val="20"/>
          <w:szCs w:val="20"/>
        </w:rPr>
        <w:t xml:space="preserve"> This percentage is almost the same as the ones regarding the last use of Internet for people aged from 16 to 24 in Europe</w:t>
      </w:r>
      <w:r w:rsidR="00A0159F">
        <w:rPr>
          <w:sz w:val="20"/>
          <w:szCs w:val="20"/>
        </w:rPr>
        <w:t>-28</w:t>
      </w:r>
      <w:r w:rsidR="00C4372E">
        <w:rPr>
          <w:sz w:val="20"/>
          <w:szCs w:val="20"/>
        </w:rPr>
        <w:t xml:space="preserve"> (97%) and Serbia (97.1%). </w:t>
      </w:r>
      <w:r w:rsidR="00AA6654">
        <w:rPr>
          <w:sz w:val="20"/>
          <w:szCs w:val="20"/>
        </w:rPr>
        <w:t xml:space="preserve">Of all NSSB students that have used Internet in the last three months, 93.88% did it daily, 3.06% did it at least once in a month (but not every week), 2.04% did it less than once in a month and finally 1.02% did it at least once in a week (but not every day). </w:t>
      </w:r>
      <w:r w:rsidR="00A703AB">
        <w:rPr>
          <w:sz w:val="20"/>
          <w:szCs w:val="20"/>
        </w:rPr>
        <w:t xml:space="preserve">Those percentages are not following the trend that has been identified in the year 2011-2015, which showed that the daily use of Internet was continuously growing from </w:t>
      </w:r>
      <w:r w:rsidR="001E2B10">
        <w:rPr>
          <w:sz w:val="20"/>
          <w:szCs w:val="20"/>
        </w:rPr>
        <w:t>88.72% in 2011 to 99.03% in 2015, leaving just 0.97% of students accessing Internet once in a week (but not every day), while there were none of them using Internet less than once in a month or once in a month (but not every week).</w:t>
      </w:r>
      <w:r w:rsidR="00462EF8">
        <w:rPr>
          <w:sz w:val="20"/>
          <w:szCs w:val="20"/>
        </w:rPr>
        <w:t xml:space="preserve"> </w:t>
      </w:r>
      <w:r w:rsidR="004A7458">
        <w:rPr>
          <w:sz w:val="20"/>
          <w:szCs w:val="20"/>
        </w:rPr>
        <w:t xml:space="preserve">We expect to see from the data that will be gathered in the next years if this drop of Internet daily use will continue or if it was just an statistical </w:t>
      </w:r>
      <w:r w:rsidR="00A22514">
        <w:rPr>
          <w:sz w:val="20"/>
          <w:szCs w:val="20"/>
        </w:rPr>
        <w:t>glitch</w:t>
      </w:r>
      <w:r w:rsidR="004A7458">
        <w:rPr>
          <w:sz w:val="20"/>
          <w:szCs w:val="20"/>
        </w:rPr>
        <w:t xml:space="preserve">. </w:t>
      </w:r>
      <w:r w:rsidR="00A22514">
        <w:rPr>
          <w:sz w:val="20"/>
          <w:szCs w:val="20"/>
        </w:rPr>
        <w:t>Nevertheless,</w:t>
      </w:r>
      <w:r w:rsidR="00462EF8">
        <w:rPr>
          <w:sz w:val="20"/>
          <w:szCs w:val="20"/>
        </w:rPr>
        <w:t xml:space="preserve"> the percentage of NSSB students using Internet on daily basis</w:t>
      </w:r>
      <w:r w:rsidR="00A22514">
        <w:rPr>
          <w:sz w:val="20"/>
          <w:szCs w:val="20"/>
        </w:rPr>
        <w:t xml:space="preserve"> in 2016</w:t>
      </w:r>
      <w:r w:rsidR="00462EF8">
        <w:rPr>
          <w:sz w:val="20"/>
          <w:szCs w:val="20"/>
        </w:rPr>
        <w:t xml:space="preserve"> is still </w:t>
      </w:r>
      <w:r w:rsidR="00A0159F">
        <w:rPr>
          <w:sz w:val="20"/>
          <w:szCs w:val="20"/>
        </w:rPr>
        <w:t>higher than</w:t>
      </w:r>
      <w:r w:rsidR="00462EF8">
        <w:rPr>
          <w:sz w:val="20"/>
          <w:szCs w:val="20"/>
        </w:rPr>
        <w:t xml:space="preserve"> the percentage of 16-24 years old population in Europe</w:t>
      </w:r>
      <w:r w:rsidR="00A0159F">
        <w:rPr>
          <w:sz w:val="20"/>
          <w:szCs w:val="20"/>
        </w:rPr>
        <w:t xml:space="preserve">-28 </w:t>
      </w:r>
      <w:r w:rsidR="00A22514">
        <w:rPr>
          <w:sz w:val="20"/>
          <w:szCs w:val="20"/>
        </w:rPr>
        <w:t>(92%) and Serbia (88.8%).</w:t>
      </w:r>
    </w:p>
    <w:p w:rsidR="002A3989" w:rsidRDefault="0010340F" w:rsidP="00725C5D">
      <w:pPr>
        <w:jc w:val="both"/>
        <w:rPr>
          <w:sz w:val="20"/>
          <w:szCs w:val="20"/>
        </w:rPr>
      </w:pPr>
      <w:r>
        <w:rPr>
          <w:sz w:val="20"/>
          <w:szCs w:val="20"/>
        </w:rPr>
        <w:t xml:space="preserve">Data related to NSSB students' Internet activities may also help to predict their future e-commerce user status. We will present in this paper only a segment of the figures correlated to students' Internet use, showing their top 5 Internet activities (table 2) in 2016. The table </w:t>
      </w:r>
      <w:r w:rsidR="00AB6BFF">
        <w:rPr>
          <w:sz w:val="20"/>
          <w:szCs w:val="20"/>
        </w:rPr>
        <w:t>contain</w:t>
      </w:r>
      <w:r>
        <w:rPr>
          <w:sz w:val="20"/>
          <w:szCs w:val="20"/>
        </w:rPr>
        <w:t>s also data about those activities in the previous five years</w:t>
      </w:r>
      <w:r w:rsidR="00AB6BFF">
        <w:rPr>
          <w:sz w:val="20"/>
          <w:szCs w:val="20"/>
        </w:rPr>
        <w:t xml:space="preserve">, the average values for the 2011-2016 </w:t>
      </w:r>
      <w:r w:rsidR="00D463EC">
        <w:rPr>
          <w:sz w:val="20"/>
          <w:szCs w:val="20"/>
        </w:rPr>
        <w:t>interval,</w:t>
      </w:r>
      <w:r w:rsidR="00AB6BFF">
        <w:rPr>
          <w:sz w:val="20"/>
          <w:szCs w:val="20"/>
        </w:rPr>
        <w:t xml:space="preserve"> and in the last column, </w:t>
      </w:r>
      <w:r w:rsidR="009506D5">
        <w:rPr>
          <w:sz w:val="20"/>
          <w:szCs w:val="20"/>
        </w:rPr>
        <w:t>the growth or the decrease calculated comparing the year 2016 to the year 2011. The category "</w:t>
      </w:r>
      <w:r w:rsidR="009506D5" w:rsidRPr="009506D5">
        <w:rPr>
          <w:color w:val="000000"/>
          <w:sz w:val="20"/>
          <w:szCs w:val="20"/>
        </w:rPr>
        <w:t>Watching</w:t>
      </w:r>
      <w:r w:rsidR="009506D5">
        <w:rPr>
          <w:color w:val="000000"/>
          <w:sz w:val="20"/>
          <w:szCs w:val="20"/>
        </w:rPr>
        <w:t xml:space="preserve"> video content from sharing services" is introduced in the questionnaire in 2016, so there is no prior data for it.</w:t>
      </w:r>
    </w:p>
    <w:p w:rsidR="00A02C2F" w:rsidRDefault="00A02C2F" w:rsidP="00725C5D">
      <w:pPr>
        <w:jc w:val="both"/>
        <w:rPr>
          <w:sz w:val="20"/>
          <w:szCs w:val="20"/>
        </w:rPr>
      </w:pPr>
    </w:p>
    <w:p w:rsidR="00A339AE" w:rsidRDefault="00A02C2F" w:rsidP="00A02C2F">
      <w:pPr>
        <w:jc w:val="center"/>
        <w:rPr>
          <w:sz w:val="20"/>
          <w:szCs w:val="20"/>
        </w:rPr>
      </w:pPr>
      <w:r>
        <w:rPr>
          <w:b/>
          <w:sz w:val="20"/>
          <w:szCs w:val="22"/>
        </w:rPr>
        <w:t xml:space="preserve">Table 2: </w:t>
      </w:r>
      <w:r>
        <w:rPr>
          <w:sz w:val="20"/>
          <w:szCs w:val="22"/>
        </w:rPr>
        <w:t xml:space="preserve">Top 5 favorite NSSB students' </w:t>
      </w:r>
      <w:r w:rsidR="0010340F">
        <w:rPr>
          <w:sz w:val="20"/>
          <w:szCs w:val="22"/>
        </w:rPr>
        <w:t>I</w:t>
      </w:r>
      <w:r>
        <w:rPr>
          <w:sz w:val="20"/>
          <w:szCs w:val="22"/>
        </w:rPr>
        <w:t>nternet activities in 2016</w:t>
      </w:r>
    </w:p>
    <w:tbl>
      <w:tblPr>
        <w:tblW w:w="9654" w:type="dxa"/>
        <w:tblInd w:w="93" w:type="dxa"/>
        <w:tblLook w:val="04A0"/>
      </w:tblPr>
      <w:tblGrid>
        <w:gridCol w:w="2709"/>
        <w:gridCol w:w="851"/>
        <w:gridCol w:w="850"/>
        <w:gridCol w:w="851"/>
        <w:gridCol w:w="850"/>
        <w:gridCol w:w="851"/>
        <w:gridCol w:w="850"/>
        <w:gridCol w:w="894"/>
        <w:gridCol w:w="948"/>
      </w:tblGrid>
      <w:tr w:rsidR="002A3989" w:rsidTr="006E2603">
        <w:trPr>
          <w:trHeight w:val="300"/>
        </w:trPr>
        <w:tc>
          <w:tcPr>
            <w:tcW w:w="2709" w:type="dxa"/>
            <w:tcBorders>
              <w:top w:val="nil"/>
              <w:left w:val="nil"/>
              <w:bottom w:val="single" w:sz="4" w:space="0" w:color="auto"/>
              <w:right w:val="single" w:sz="4" w:space="0" w:color="auto"/>
            </w:tcBorders>
            <w:shd w:val="clear" w:color="auto" w:fill="auto"/>
            <w:noWrap/>
            <w:vAlign w:val="bottom"/>
            <w:hideMark/>
          </w:tcPr>
          <w:p w:rsidR="00125C59" w:rsidRDefault="00125C59">
            <w:pPr>
              <w:rPr>
                <w:color w:val="000000"/>
                <w:sz w:val="20"/>
                <w:szCs w:val="20"/>
              </w:rPr>
            </w:pPr>
            <w:r>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5C59" w:rsidRDefault="00125C59" w:rsidP="00125C59">
            <w:pPr>
              <w:jc w:val="center"/>
              <w:rPr>
                <w:color w:val="000000"/>
                <w:sz w:val="20"/>
                <w:szCs w:val="20"/>
              </w:rPr>
            </w:pPr>
            <w:r>
              <w:rPr>
                <w:color w:val="000000"/>
                <w:sz w:val="20"/>
                <w:szCs w:val="20"/>
              </w:rPr>
              <w:t>2011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5C59" w:rsidRDefault="00125C59" w:rsidP="00125C59">
            <w:pPr>
              <w:jc w:val="center"/>
              <w:rPr>
                <w:color w:val="000000"/>
                <w:sz w:val="20"/>
                <w:szCs w:val="20"/>
              </w:rPr>
            </w:pPr>
            <w:r>
              <w:rPr>
                <w:color w:val="000000"/>
                <w:sz w:val="20"/>
                <w:szCs w:val="20"/>
              </w:rPr>
              <w:t>2012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5C59" w:rsidRDefault="00125C59" w:rsidP="00125C59">
            <w:pPr>
              <w:jc w:val="center"/>
              <w:rPr>
                <w:color w:val="000000"/>
                <w:sz w:val="20"/>
                <w:szCs w:val="20"/>
              </w:rPr>
            </w:pPr>
            <w:r>
              <w:rPr>
                <w:color w:val="000000"/>
                <w:sz w:val="20"/>
                <w:szCs w:val="20"/>
              </w:rPr>
              <w:t>2013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5C59" w:rsidRDefault="00125C59" w:rsidP="00125C59">
            <w:pPr>
              <w:jc w:val="center"/>
              <w:rPr>
                <w:color w:val="000000"/>
                <w:sz w:val="20"/>
                <w:szCs w:val="20"/>
              </w:rPr>
            </w:pPr>
            <w:r>
              <w:rPr>
                <w:color w:val="000000"/>
                <w:sz w:val="20"/>
                <w:szCs w:val="20"/>
              </w:rPr>
              <w:t>2014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5C59" w:rsidRDefault="00125C59" w:rsidP="00125C59">
            <w:pPr>
              <w:jc w:val="center"/>
              <w:rPr>
                <w:color w:val="000000"/>
                <w:sz w:val="20"/>
                <w:szCs w:val="20"/>
              </w:rPr>
            </w:pPr>
            <w:r>
              <w:rPr>
                <w:color w:val="000000"/>
                <w:sz w:val="20"/>
                <w:szCs w:val="20"/>
              </w:rPr>
              <w:t>2015</w:t>
            </w:r>
          </w:p>
        </w:tc>
        <w:tc>
          <w:tcPr>
            <w:tcW w:w="850" w:type="dxa"/>
            <w:tcBorders>
              <w:top w:val="single" w:sz="4" w:space="0" w:color="auto"/>
              <w:left w:val="nil"/>
              <w:bottom w:val="single" w:sz="4" w:space="0" w:color="auto"/>
              <w:right w:val="single" w:sz="4" w:space="0" w:color="auto"/>
            </w:tcBorders>
            <w:shd w:val="clear" w:color="auto" w:fill="D9D9D9"/>
            <w:noWrap/>
            <w:vAlign w:val="center"/>
            <w:hideMark/>
          </w:tcPr>
          <w:p w:rsidR="00125C59" w:rsidRDefault="00125C59" w:rsidP="00125C59">
            <w:pPr>
              <w:jc w:val="center"/>
              <w:rPr>
                <w:color w:val="000000"/>
                <w:sz w:val="20"/>
                <w:szCs w:val="20"/>
              </w:rPr>
            </w:pPr>
            <w:r>
              <w:rPr>
                <w:color w:val="000000"/>
                <w:sz w:val="20"/>
                <w:szCs w:val="20"/>
              </w:rPr>
              <w:t>2016</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125C59" w:rsidRDefault="002A3989" w:rsidP="00096472">
            <w:pPr>
              <w:jc w:val="center"/>
              <w:rPr>
                <w:color w:val="000000"/>
                <w:sz w:val="20"/>
                <w:szCs w:val="20"/>
              </w:rPr>
            </w:pPr>
            <w:r>
              <w:rPr>
                <w:color w:val="000000"/>
                <w:sz w:val="20"/>
                <w:szCs w:val="20"/>
              </w:rPr>
              <w:t xml:space="preserve">2011-2016 </w:t>
            </w:r>
            <w:r w:rsidR="00096472">
              <w:rPr>
                <w:color w:val="000000"/>
                <w:sz w:val="20"/>
                <w:szCs w:val="20"/>
              </w:rPr>
              <w:t>a</w:t>
            </w:r>
            <w:r w:rsidR="00125C59">
              <w:rPr>
                <w:color w:val="000000"/>
                <w:sz w:val="20"/>
                <w:szCs w:val="20"/>
              </w:rPr>
              <w:t>verage</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125C59" w:rsidRDefault="00125C59" w:rsidP="00125C59">
            <w:pPr>
              <w:jc w:val="center"/>
              <w:rPr>
                <w:color w:val="000000"/>
                <w:sz w:val="20"/>
                <w:szCs w:val="20"/>
              </w:rPr>
            </w:pPr>
            <w:r>
              <w:rPr>
                <w:color w:val="000000"/>
                <w:sz w:val="20"/>
                <w:szCs w:val="20"/>
              </w:rPr>
              <w:t>2016-2011</w:t>
            </w:r>
          </w:p>
        </w:tc>
      </w:tr>
      <w:tr w:rsidR="002A3989" w:rsidTr="006E260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25C59" w:rsidRDefault="00125C59" w:rsidP="0010340F">
            <w:pPr>
              <w:rPr>
                <w:color w:val="000000"/>
                <w:sz w:val="20"/>
                <w:szCs w:val="20"/>
              </w:rPr>
            </w:pPr>
            <w:r>
              <w:rPr>
                <w:color w:val="000000"/>
                <w:sz w:val="20"/>
                <w:szCs w:val="20"/>
              </w:rPr>
              <w:t>Participating in social networks</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70</w:t>
            </w:r>
            <w:r w:rsidR="0010340F">
              <w:rPr>
                <w:color w:val="000000"/>
                <w:sz w:val="20"/>
                <w:szCs w:val="20"/>
              </w:rPr>
              <w:t>.</w:t>
            </w:r>
            <w:r>
              <w:rPr>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74</w:t>
            </w:r>
            <w:r w:rsidR="0010340F">
              <w:rPr>
                <w:color w:val="000000"/>
                <w:sz w:val="20"/>
                <w:szCs w:val="20"/>
              </w:rPr>
              <w:t>.</w:t>
            </w:r>
            <w:r>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83</w:t>
            </w:r>
            <w:r w:rsidR="0010340F">
              <w:rPr>
                <w:color w:val="000000"/>
                <w:sz w:val="20"/>
                <w:szCs w:val="20"/>
              </w:rPr>
              <w:t>.</w:t>
            </w:r>
            <w:r>
              <w:rPr>
                <w:color w:val="000000"/>
                <w:sz w:val="20"/>
                <w:szCs w:val="20"/>
              </w:rPr>
              <w:t>70%</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80</w:t>
            </w:r>
            <w:r w:rsidR="0010340F">
              <w:rPr>
                <w:color w:val="000000"/>
                <w:sz w:val="20"/>
                <w:szCs w:val="20"/>
              </w:rPr>
              <w:t>.</w:t>
            </w:r>
            <w:r>
              <w:rPr>
                <w:color w:val="000000"/>
                <w:sz w:val="20"/>
                <w:szCs w:val="20"/>
              </w:rPr>
              <w:t>54%</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78</w:t>
            </w:r>
            <w:r w:rsidR="0010340F">
              <w:rPr>
                <w:color w:val="000000"/>
                <w:sz w:val="20"/>
                <w:szCs w:val="20"/>
              </w:rPr>
              <w:t>.</w:t>
            </w:r>
            <w:r>
              <w:rPr>
                <w:color w:val="000000"/>
                <w:sz w:val="20"/>
                <w:szCs w:val="20"/>
              </w:rPr>
              <w:t>95%</w:t>
            </w:r>
          </w:p>
        </w:tc>
        <w:tc>
          <w:tcPr>
            <w:tcW w:w="850" w:type="dxa"/>
            <w:tcBorders>
              <w:top w:val="nil"/>
              <w:left w:val="nil"/>
              <w:bottom w:val="single" w:sz="4" w:space="0" w:color="auto"/>
              <w:right w:val="single" w:sz="4" w:space="0" w:color="auto"/>
            </w:tcBorders>
            <w:shd w:val="clear" w:color="auto" w:fill="D9D9D9"/>
            <w:noWrap/>
            <w:vAlign w:val="center"/>
            <w:hideMark/>
          </w:tcPr>
          <w:p w:rsidR="00125C59" w:rsidRDefault="00125C59">
            <w:pPr>
              <w:jc w:val="center"/>
              <w:rPr>
                <w:color w:val="000000"/>
                <w:sz w:val="20"/>
                <w:szCs w:val="20"/>
              </w:rPr>
            </w:pPr>
            <w:r>
              <w:rPr>
                <w:color w:val="000000"/>
                <w:sz w:val="20"/>
                <w:szCs w:val="20"/>
              </w:rPr>
              <w:t>84</w:t>
            </w:r>
            <w:r w:rsidR="0010340F">
              <w:rPr>
                <w:color w:val="000000"/>
                <w:sz w:val="20"/>
                <w:szCs w:val="20"/>
              </w:rPr>
              <w:t>.</w:t>
            </w:r>
            <w:r>
              <w:rPr>
                <w:color w:val="000000"/>
                <w:sz w:val="20"/>
                <w:szCs w:val="20"/>
              </w:rPr>
              <w:t>69%</w:t>
            </w:r>
          </w:p>
        </w:tc>
        <w:tc>
          <w:tcPr>
            <w:tcW w:w="894"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78</w:t>
            </w:r>
            <w:r w:rsidR="0010340F">
              <w:rPr>
                <w:color w:val="000000"/>
                <w:sz w:val="20"/>
                <w:szCs w:val="20"/>
              </w:rPr>
              <w:t>.</w:t>
            </w:r>
            <w:r>
              <w:rPr>
                <w:color w:val="000000"/>
                <w:sz w:val="20"/>
                <w:szCs w:val="20"/>
              </w:rPr>
              <w:t>65%</w:t>
            </w:r>
          </w:p>
        </w:tc>
        <w:tc>
          <w:tcPr>
            <w:tcW w:w="948"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14</w:t>
            </w:r>
            <w:r w:rsidR="0010340F">
              <w:rPr>
                <w:color w:val="000000"/>
                <w:sz w:val="20"/>
                <w:szCs w:val="20"/>
              </w:rPr>
              <w:t>.</w:t>
            </w:r>
            <w:r>
              <w:rPr>
                <w:color w:val="000000"/>
                <w:sz w:val="20"/>
                <w:szCs w:val="20"/>
              </w:rPr>
              <w:t>69%</w:t>
            </w:r>
          </w:p>
        </w:tc>
      </w:tr>
      <w:tr w:rsidR="002A3989" w:rsidTr="006E260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25C59" w:rsidRDefault="00125C59" w:rsidP="0010340F">
            <w:pPr>
              <w:rPr>
                <w:color w:val="000000"/>
                <w:sz w:val="20"/>
                <w:szCs w:val="20"/>
              </w:rPr>
            </w:pPr>
            <w:r>
              <w:rPr>
                <w:color w:val="000000"/>
                <w:sz w:val="20"/>
                <w:szCs w:val="20"/>
              </w:rPr>
              <w:t>Sending/receiving e-mails</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71</w:t>
            </w:r>
            <w:r w:rsidR="0010340F">
              <w:rPr>
                <w:color w:val="000000"/>
                <w:sz w:val="20"/>
                <w:szCs w:val="20"/>
              </w:rPr>
              <w:t>.</w:t>
            </w:r>
            <w:r>
              <w:rPr>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78</w:t>
            </w:r>
            <w:r w:rsidR="0010340F">
              <w:rPr>
                <w:color w:val="000000"/>
                <w:sz w:val="20"/>
                <w:szCs w:val="20"/>
              </w:rPr>
              <w:t>.</w:t>
            </w:r>
            <w:r>
              <w:rPr>
                <w:color w:val="000000"/>
                <w:sz w:val="20"/>
                <w:szCs w:val="20"/>
              </w:rPr>
              <w:t>85%</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78</w:t>
            </w:r>
            <w:r w:rsidR="0010340F">
              <w:rPr>
                <w:color w:val="000000"/>
                <w:sz w:val="20"/>
                <w:szCs w:val="20"/>
              </w:rPr>
              <w:t>.</w:t>
            </w:r>
            <w:r>
              <w:rPr>
                <w:color w:val="000000"/>
                <w:sz w:val="20"/>
                <w:szCs w:val="20"/>
              </w:rPr>
              <w:t>52%</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84</w:t>
            </w:r>
            <w:r w:rsidR="0010340F">
              <w:rPr>
                <w:color w:val="000000"/>
                <w:sz w:val="20"/>
                <w:szCs w:val="20"/>
              </w:rPr>
              <w:t>.</w:t>
            </w:r>
            <w:r>
              <w:rPr>
                <w:color w:val="000000"/>
                <w:sz w:val="20"/>
                <w:szCs w:val="20"/>
              </w:rPr>
              <w:t>86%</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70</w:t>
            </w:r>
            <w:r w:rsidR="0010340F">
              <w:rPr>
                <w:color w:val="000000"/>
                <w:sz w:val="20"/>
                <w:szCs w:val="20"/>
              </w:rPr>
              <w:t>.</w:t>
            </w:r>
            <w:r>
              <w:rPr>
                <w:color w:val="000000"/>
                <w:sz w:val="20"/>
                <w:szCs w:val="20"/>
              </w:rPr>
              <w:t>81%</w:t>
            </w:r>
          </w:p>
        </w:tc>
        <w:tc>
          <w:tcPr>
            <w:tcW w:w="850" w:type="dxa"/>
            <w:tcBorders>
              <w:top w:val="nil"/>
              <w:left w:val="nil"/>
              <w:bottom w:val="single" w:sz="4" w:space="0" w:color="auto"/>
              <w:right w:val="single" w:sz="4" w:space="0" w:color="auto"/>
            </w:tcBorders>
            <w:shd w:val="clear" w:color="auto" w:fill="D9D9D9"/>
            <w:noWrap/>
            <w:vAlign w:val="center"/>
            <w:hideMark/>
          </w:tcPr>
          <w:p w:rsidR="00125C59" w:rsidRDefault="00125C59">
            <w:pPr>
              <w:jc w:val="center"/>
              <w:rPr>
                <w:color w:val="000000"/>
                <w:sz w:val="20"/>
                <w:szCs w:val="20"/>
              </w:rPr>
            </w:pPr>
            <w:r>
              <w:rPr>
                <w:color w:val="000000"/>
                <w:sz w:val="20"/>
                <w:szCs w:val="20"/>
              </w:rPr>
              <w:t>72</w:t>
            </w:r>
            <w:r w:rsidR="0010340F">
              <w:rPr>
                <w:color w:val="000000"/>
                <w:sz w:val="20"/>
                <w:szCs w:val="20"/>
              </w:rPr>
              <w:t>.</w:t>
            </w:r>
            <w:r>
              <w:rPr>
                <w:color w:val="000000"/>
                <w:sz w:val="20"/>
                <w:szCs w:val="20"/>
              </w:rPr>
              <w:t>45%</w:t>
            </w:r>
          </w:p>
        </w:tc>
        <w:tc>
          <w:tcPr>
            <w:tcW w:w="894"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76</w:t>
            </w:r>
            <w:r w:rsidR="0010340F">
              <w:rPr>
                <w:color w:val="000000"/>
                <w:sz w:val="20"/>
                <w:szCs w:val="20"/>
              </w:rPr>
              <w:t>.</w:t>
            </w:r>
            <w:r>
              <w:rPr>
                <w:color w:val="000000"/>
                <w:sz w:val="20"/>
                <w:szCs w:val="20"/>
              </w:rPr>
              <w:t>08%</w:t>
            </w:r>
          </w:p>
        </w:tc>
        <w:tc>
          <w:tcPr>
            <w:tcW w:w="948"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1</w:t>
            </w:r>
            <w:r w:rsidR="0010340F">
              <w:rPr>
                <w:color w:val="000000"/>
                <w:sz w:val="20"/>
                <w:szCs w:val="20"/>
              </w:rPr>
              <w:t>.</w:t>
            </w:r>
            <w:r>
              <w:rPr>
                <w:color w:val="000000"/>
                <w:sz w:val="20"/>
                <w:szCs w:val="20"/>
              </w:rPr>
              <w:t>45%</w:t>
            </w:r>
          </w:p>
        </w:tc>
      </w:tr>
      <w:tr w:rsidR="002A3989" w:rsidTr="006E260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25C59" w:rsidRDefault="00125C59" w:rsidP="0010340F">
            <w:pPr>
              <w:rPr>
                <w:color w:val="000000"/>
                <w:sz w:val="20"/>
                <w:szCs w:val="20"/>
              </w:rPr>
            </w:pPr>
            <w:r>
              <w:rPr>
                <w:color w:val="000000"/>
                <w:sz w:val="20"/>
                <w:szCs w:val="20"/>
              </w:rPr>
              <w:t>Watching video content from sharing services (Netflix, HBO)</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 </w:t>
            </w:r>
            <w:r w:rsidR="002A3989">
              <w:rPr>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 </w:t>
            </w:r>
            <w:r w:rsidR="002A3989">
              <w:rPr>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 </w:t>
            </w:r>
            <w:r w:rsidR="002A3989">
              <w:rPr>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 </w:t>
            </w:r>
            <w:r w:rsidR="002A3989">
              <w:rPr>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2A3989">
            <w:pPr>
              <w:jc w:val="center"/>
              <w:rPr>
                <w:color w:val="000000"/>
                <w:sz w:val="20"/>
                <w:szCs w:val="20"/>
              </w:rPr>
            </w:pPr>
            <w:r>
              <w:rPr>
                <w:color w:val="000000"/>
                <w:sz w:val="20"/>
                <w:szCs w:val="20"/>
              </w:rPr>
              <w:t>-</w:t>
            </w:r>
            <w:r w:rsidR="00125C59">
              <w:rPr>
                <w:color w:val="000000"/>
                <w:sz w:val="20"/>
                <w:szCs w:val="20"/>
              </w:rPr>
              <w:t> </w:t>
            </w:r>
          </w:p>
        </w:tc>
        <w:tc>
          <w:tcPr>
            <w:tcW w:w="850" w:type="dxa"/>
            <w:tcBorders>
              <w:top w:val="nil"/>
              <w:left w:val="nil"/>
              <w:bottom w:val="single" w:sz="4" w:space="0" w:color="auto"/>
              <w:right w:val="single" w:sz="4" w:space="0" w:color="auto"/>
            </w:tcBorders>
            <w:shd w:val="clear" w:color="auto" w:fill="D9D9D9"/>
            <w:noWrap/>
            <w:vAlign w:val="center"/>
            <w:hideMark/>
          </w:tcPr>
          <w:p w:rsidR="00125C59" w:rsidRDefault="00125C59">
            <w:pPr>
              <w:jc w:val="center"/>
              <w:rPr>
                <w:color w:val="000000"/>
                <w:sz w:val="20"/>
                <w:szCs w:val="20"/>
              </w:rPr>
            </w:pPr>
            <w:r>
              <w:rPr>
                <w:color w:val="000000"/>
                <w:sz w:val="20"/>
                <w:szCs w:val="20"/>
              </w:rPr>
              <w:t>65</w:t>
            </w:r>
            <w:r w:rsidR="0010340F">
              <w:rPr>
                <w:color w:val="000000"/>
                <w:sz w:val="20"/>
                <w:szCs w:val="20"/>
              </w:rPr>
              <w:t>.</w:t>
            </w:r>
            <w:r>
              <w:rPr>
                <w:color w:val="000000"/>
                <w:sz w:val="20"/>
                <w:szCs w:val="20"/>
              </w:rPr>
              <w:t>31%</w:t>
            </w:r>
          </w:p>
        </w:tc>
        <w:tc>
          <w:tcPr>
            <w:tcW w:w="894"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 </w:t>
            </w:r>
            <w:r w:rsidR="002A3989">
              <w:rPr>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rsidR="00125C59" w:rsidRDefault="002A3989">
            <w:pPr>
              <w:jc w:val="center"/>
              <w:rPr>
                <w:color w:val="000000"/>
                <w:sz w:val="20"/>
                <w:szCs w:val="20"/>
              </w:rPr>
            </w:pPr>
            <w:r>
              <w:rPr>
                <w:color w:val="000000"/>
                <w:sz w:val="20"/>
                <w:szCs w:val="20"/>
              </w:rPr>
              <w:t>-</w:t>
            </w:r>
          </w:p>
        </w:tc>
      </w:tr>
      <w:tr w:rsidR="002A3989" w:rsidTr="006E260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25C59" w:rsidRDefault="00125C59" w:rsidP="0010340F">
            <w:pPr>
              <w:rPr>
                <w:color w:val="000000"/>
                <w:sz w:val="20"/>
                <w:szCs w:val="20"/>
              </w:rPr>
            </w:pPr>
            <w:r>
              <w:rPr>
                <w:color w:val="000000"/>
                <w:sz w:val="20"/>
                <w:szCs w:val="20"/>
              </w:rPr>
              <w:t>Telephoning or video calls</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28</w:t>
            </w:r>
            <w:r w:rsidR="0010340F">
              <w:rPr>
                <w:color w:val="000000"/>
                <w:sz w:val="20"/>
                <w:szCs w:val="20"/>
              </w:rPr>
              <w:t>.</w:t>
            </w:r>
            <w:r>
              <w:rPr>
                <w:color w:val="000000"/>
                <w:sz w:val="20"/>
                <w:szCs w:val="20"/>
              </w:rPr>
              <w:t>50%</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40</w:t>
            </w:r>
            <w:r w:rsidR="0010340F">
              <w:rPr>
                <w:color w:val="000000"/>
                <w:sz w:val="20"/>
                <w:szCs w:val="20"/>
              </w:rPr>
              <w:t>.</w:t>
            </w:r>
            <w:r>
              <w:rPr>
                <w:color w:val="000000"/>
                <w:sz w:val="20"/>
                <w:szCs w:val="20"/>
              </w:rPr>
              <w:t>53%</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40</w:t>
            </w:r>
            <w:r w:rsidR="0010340F">
              <w:rPr>
                <w:color w:val="000000"/>
                <w:sz w:val="20"/>
                <w:szCs w:val="20"/>
              </w:rPr>
              <w:t>.</w:t>
            </w:r>
            <w:r>
              <w:rPr>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52</w:t>
            </w:r>
            <w:r w:rsidR="0010340F">
              <w:rPr>
                <w:color w:val="000000"/>
                <w:sz w:val="20"/>
                <w:szCs w:val="20"/>
              </w:rPr>
              <w:t>.</w:t>
            </w:r>
            <w:r>
              <w:rPr>
                <w:color w:val="000000"/>
                <w:sz w:val="20"/>
                <w:szCs w:val="20"/>
              </w:rPr>
              <w:t>97%</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50</w:t>
            </w:r>
            <w:r w:rsidR="0010340F">
              <w:rPr>
                <w:color w:val="000000"/>
                <w:sz w:val="20"/>
                <w:szCs w:val="20"/>
              </w:rPr>
              <w:t>.</w:t>
            </w:r>
            <w:r>
              <w:rPr>
                <w:color w:val="000000"/>
                <w:sz w:val="20"/>
                <w:szCs w:val="20"/>
              </w:rPr>
              <w:t>72%</w:t>
            </w:r>
          </w:p>
        </w:tc>
        <w:tc>
          <w:tcPr>
            <w:tcW w:w="850" w:type="dxa"/>
            <w:tcBorders>
              <w:top w:val="nil"/>
              <w:left w:val="nil"/>
              <w:bottom w:val="single" w:sz="4" w:space="0" w:color="auto"/>
              <w:right w:val="single" w:sz="4" w:space="0" w:color="auto"/>
            </w:tcBorders>
            <w:shd w:val="clear" w:color="auto" w:fill="D9D9D9"/>
            <w:noWrap/>
            <w:vAlign w:val="center"/>
            <w:hideMark/>
          </w:tcPr>
          <w:p w:rsidR="00125C59" w:rsidRDefault="00125C59">
            <w:pPr>
              <w:jc w:val="center"/>
              <w:rPr>
                <w:color w:val="000000"/>
                <w:sz w:val="20"/>
                <w:szCs w:val="20"/>
              </w:rPr>
            </w:pPr>
            <w:r>
              <w:rPr>
                <w:color w:val="000000"/>
                <w:sz w:val="20"/>
                <w:szCs w:val="20"/>
              </w:rPr>
              <w:t>60</w:t>
            </w:r>
            <w:r w:rsidR="0010340F">
              <w:rPr>
                <w:color w:val="000000"/>
                <w:sz w:val="20"/>
                <w:szCs w:val="20"/>
              </w:rPr>
              <w:t>.</w:t>
            </w:r>
            <w:r>
              <w:rPr>
                <w:color w:val="000000"/>
                <w:sz w:val="20"/>
                <w:szCs w:val="20"/>
              </w:rPr>
              <w:t>20%</w:t>
            </w:r>
          </w:p>
        </w:tc>
        <w:tc>
          <w:tcPr>
            <w:tcW w:w="894"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45</w:t>
            </w:r>
            <w:r w:rsidR="0010340F">
              <w:rPr>
                <w:color w:val="000000"/>
                <w:sz w:val="20"/>
                <w:szCs w:val="20"/>
              </w:rPr>
              <w:t>.</w:t>
            </w:r>
            <w:r>
              <w:rPr>
                <w:color w:val="000000"/>
                <w:sz w:val="20"/>
                <w:szCs w:val="20"/>
              </w:rPr>
              <w:t>49%</w:t>
            </w:r>
          </w:p>
        </w:tc>
        <w:tc>
          <w:tcPr>
            <w:tcW w:w="948"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31</w:t>
            </w:r>
            <w:r w:rsidR="0010340F">
              <w:rPr>
                <w:color w:val="000000"/>
                <w:sz w:val="20"/>
                <w:szCs w:val="20"/>
              </w:rPr>
              <w:t>.</w:t>
            </w:r>
            <w:r>
              <w:rPr>
                <w:color w:val="000000"/>
                <w:sz w:val="20"/>
                <w:szCs w:val="20"/>
              </w:rPr>
              <w:t>70%</w:t>
            </w:r>
          </w:p>
        </w:tc>
      </w:tr>
      <w:tr w:rsidR="002A3989" w:rsidTr="006E260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25C59" w:rsidRDefault="00125C59" w:rsidP="0010340F">
            <w:pPr>
              <w:rPr>
                <w:color w:val="000000"/>
                <w:sz w:val="20"/>
                <w:szCs w:val="20"/>
              </w:rPr>
            </w:pPr>
            <w:r>
              <w:rPr>
                <w:color w:val="000000"/>
                <w:sz w:val="20"/>
                <w:szCs w:val="20"/>
              </w:rPr>
              <w:t>Playing/downloading games, images, films or music</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63</w:t>
            </w:r>
            <w:r w:rsidR="0010340F">
              <w:rPr>
                <w:color w:val="000000"/>
                <w:sz w:val="20"/>
                <w:szCs w:val="20"/>
              </w:rPr>
              <w:t>.</w:t>
            </w:r>
            <w:r>
              <w:rPr>
                <w:color w:val="000000"/>
                <w:sz w:val="20"/>
                <w:szCs w:val="20"/>
              </w:rPr>
              <w:t>50%</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70</w:t>
            </w:r>
            <w:r w:rsidR="0010340F">
              <w:rPr>
                <w:color w:val="000000"/>
                <w:sz w:val="20"/>
                <w:szCs w:val="20"/>
              </w:rPr>
              <w:t>.</w:t>
            </w:r>
            <w:r>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75</w:t>
            </w:r>
            <w:r w:rsidR="0010340F">
              <w:rPr>
                <w:color w:val="000000"/>
                <w:sz w:val="20"/>
                <w:szCs w:val="20"/>
              </w:rPr>
              <w:t>.</w:t>
            </w:r>
            <w:r>
              <w:rPr>
                <w:color w:val="000000"/>
                <w:sz w:val="20"/>
                <w:szCs w:val="20"/>
              </w:rPr>
              <w:t>56%</w:t>
            </w:r>
          </w:p>
        </w:tc>
        <w:tc>
          <w:tcPr>
            <w:tcW w:w="850"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72</w:t>
            </w:r>
            <w:r w:rsidR="0010340F">
              <w:rPr>
                <w:color w:val="000000"/>
                <w:sz w:val="20"/>
                <w:szCs w:val="20"/>
              </w:rPr>
              <w:t>.</w:t>
            </w:r>
            <w:r>
              <w:rPr>
                <w:color w:val="000000"/>
                <w:sz w:val="20"/>
                <w:szCs w:val="20"/>
              </w:rPr>
              <w:t>97%</w:t>
            </w:r>
          </w:p>
        </w:tc>
        <w:tc>
          <w:tcPr>
            <w:tcW w:w="851"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64</w:t>
            </w:r>
            <w:r w:rsidR="0010340F">
              <w:rPr>
                <w:color w:val="000000"/>
                <w:sz w:val="20"/>
                <w:szCs w:val="20"/>
              </w:rPr>
              <w:t>.</w:t>
            </w:r>
            <w:r>
              <w:rPr>
                <w:color w:val="000000"/>
                <w:sz w:val="20"/>
                <w:szCs w:val="20"/>
              </w:rPr>
              <w:t>11%</w:t>
            </w:r>
          </w:p>
        </w:tc>
        <w:tc>
          <w:tcPr>
            <w:tcW w:w="850" w:type="dxa"/>
            <w:tcBorders>
              <w:top w:val="nil"/>
              <w:left w:val="nil"/>
              <w:bottom w:val="single" w:sz="4" w:space="0" w:color="auto"/>
              <w:right w:val="single" w:sz="4" w:space="0" w:color="auto"/>
            </w:tcBorders>
            <w:shd w:val="clear" w:color="auto" w:fill="D9D9D9"/>
            <w:noWrap/>
            <w:vAlign w:val="center"/>
            <w:hideMark/>
          </w:tcPr>
          <w:p w:rsidR="00125C59" w:rsidRDefault="00125C59">
            <w:pPr>
              <w:jc w:val="center"/>
              <w:rPr>
                <w:color w:val="000000"/>
                <w:sz w:val="20"/>
                <w:szCs w:val="20"/>
              </w:rPr>
            </w:pPr>
            <w:r>
              <w:rPr>
                <w:color w:val="000000"/>
                <w:sz w:val="20"/>
                <w:szCs w:val="20"/>
              </w:rPr>
              <w:t>51</w:t>
            </w:r>
            <w:r w:rsidR="0010340F">
              <w:rPr>
                <w:color w:val="000000"/>
                <w:sz w:val="20"/>
                <w:szCs w:val="20"/>
              </w:rPr>
              <w:t>.</w:t>
            </w:r>
            <w:r>
              <w:rPr>
                <w:color w:val="000000"/>
                <w:sz w:val="20"/>
                <w:szCs w:val="20"/>
              </w:rPr>
              <w:t>02%</w:t>
            </w:r>
          </w:p>
        </w:tc>
        <w:tc>
          <w:tcPr>
            <w:tcW w:w="894"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66</w:t>
            </w:r>
            <w:r w:rsidR="0010340F">
              <w:rPr>
                <w:color w:val="000000"/>
                <w:sz w:val="20"/>
                <w:szCs w:val="20"/>
              </w:rPr>
              <w:t>.</w:t>
            </w:r>
            <w:r>
              <w:rPr>
                <w:color w:val="000000"/>
                <w:sz w:val="20"/>
                <w:szCs w:val="20"/>
              </w:rPr>
              <w:t>20%</w:t>
            </w:r>
          </w:p>
        </w:tc>
        <w:tc>
          <w:tcPr>
            <w:tcW w:w="948" w:type="dxa"/>
            <w:tcBorders>
              <w:top w:val="nil"/>
              <w:left w:val="nil"/>
              <w:bottom w:val="single" w:sz="4" w:space="0" w:color="auto"/>
              <w:right w:val="single" w:sz="4" w:space="0" w:color="auto"/>
            </w:tcBorders>
            <w:shd w:val="clear" w:color="auto" w:fill="auto"/>
            <w:noWrap/>
            <w:vAlign w:val="center"/>
            <w:hideMark/>
          </w:tcPr>
          <w:p w:rsidR="00125C59" w:rsidRDefault="00125C59">
            <w:pPr>
              <w:jc w:val="center"/>
              <w:rPr>
                <w:color w:val="000000"/>
                <w:sz w:val="20"/>
                <w:szCs w:val="20"/>
              </w:rPr>
            </w:pPr>
            <w:r>
              <w:rPr>
                <w:color w:val="000000"/>
                <w:sz w:val="20"/>
                <w:szCs w:val="20"/>
              </w:rPr>
              <w:t>-12</w:t>
            </w:r>
            <w:r w:rsidR="0010340F">
              <w:rPr>
                <w:color w:val="000000"/>
                <w:sz w:val="20"/>
                <w:szCs w:val="20"/>
              </w:rPr>
              <w:t>.</w:t>
            </w:r>
            <w:r>
              <w:rPr>
                <w:color w:val="000000"/>
                <w:sz w:val="20"/>
                <w:szCs w:val="20"/>
              </w:rPr>
              <w:t>48%</w:t>
            </w:r>
          </w:p>
        </w:tc>
      </w:tr>
    </w:tbl>
    <w:p w:rsidR="001E2B10" w:rsidRPr="00096472" w:rsidRDefault="001E2B10" w:rsidP="00725C5D">
      <w:pPr>
        <w:jc w:val="both"/>
        <w:rPr>
          <w:sz w:val="20"/>
          <w:szCs w:val="20"/>
        </w:rPr>
      </w:pPr>
    </w:p>
    <w:p w:rsidR="00577179" w:rsidRDefault="00096472" w:rsidP="00725C5D">
      <w:pPr>
        <w:jc w:val="both"/>
        <w:rPr>
          <w:sz w:val="20"/>
          <w:szCs w:val="20"/>
        </w:rPr>
      </w:pPr>
      <w:r w:rsidRPr="00096472">
        <w:rPr>
          <w:sz w:val="20"/>
          <w:szCs w:val="20"/>
        </w:rPr>
        <w:t>As expected</w:t>
      </w:r>
      <w:r>
        <w:rPr>
          <w:sz w:val="20"/>
          <w:szCs w:val="20"/>
        </w:rPr>
        <w:t xml:space="preserve"> for students as Internet users, all of the top 5 Internet activities are related to social networking, information exchange and entertainment. </w:t>
      </w:r>
      <w:r w:rsidR="00D463EC">
        <w:rPr>
          <w:sz w:val="20"/>
          <w:szCs w:val="20"/>
        </w:rPr>
        <w:t xml:space="preserve">The most preferred activity is the participation in social networks such as Facebook, and it will probably remain on the top in the next years, since it is showing a </w:t>
      </w:r>
      <w:r w:rsidR="00711741">
        <w:rPr>
          <w:sz w:val="20"/>
          <w:szCs w:val="20"/>
        </w:rPr>
        <w:t xml:space="preserve">constant percentage increase. </w:t>
      </w:r>
      <w:r w:rsidR="00AB69E3">
        <w:rPr>
          <w:sz w:val="20"/>
          <w:szCs w:val="20"/>
        </w:rPr>
        <w:t>Although telephoning or making video calls using Internet is on the fourth place as NSSB students' activity, it is the one that has shown the highest growth in</w:t>
      </w:r>
      <w:r w:rsidR="00E73B7A">
        <w:rPr>
          <w:sz w:val="20"/>
          <w:szCs w:val="20"/>
        </w:rPr>
        <w:t xml:space="preserve"> the 2011-2016 period (31.70%). </w:t>
      </w:r>
    </w:p>
    <w:p w:rsidR="00E73B7A" w:rsidRDefault="00E73B7A" w:rsidP="00725C5D">
      <w:pPr>
        <w:jc w:val="both"/>
        <w:rPr>
          <w:sz w:val="20"/>
          <w:szCs w:val="20"/>
        </w:rPr>
      </w:pPr>
      <w:r>
        <w:rPr>
          <w:sz w:val="20"/>
          <w:szCs w:val="20"/>
        </w:rPr>
        <w:t xml:space="preserve">Two more figures related to students' Internet activities are worth mentioning. The first shows that 13.27% of NSSB students used in 2016 Internet for Internet banking, which represents a growth of 6.90% comparing to 2011. The second indicates that in the same year 4.08% of students used Internet to pay goods or services using payment accounts (like PayPal). Since this category of Internet activity is introduced for the first time this year in our questionnaire, </w:t>
      </w:r>
      <w:r w:rsidR="00D16BBD">
        <w:rPr>
          <w:sz w:val="20"/>
          <w:szCs w:val="20"/>
        </w:rPr>
        <w:t xml:space="preserve">we can't mention </w:t>
      </w:r>
      <w:r w:rsidR="00F93FFF">
        <w:rPr>
          <w:sz w:val="20"/>
          <w:szCs w:val="20"/>
        </w:rPr>
        <w:t>further details</w:t>
      </w:r>
      <w:r w:rsidR="00D16BBD">
        <w:rPr>
          <w:sz w:val="20"/>
          <w:szCs w:val="20"/>
        </w:rPr>
        <w:t xml:space="preserve"> about its development in the past years.</w:t>
      </w:r>
    </w:p>
    <w:p w:rsidR="00754064" w:rsidRDefault="00754064" w:rsidP="00725C5D">
      <w:pPr>
        <w:jc w:val="both"/>
        <w:rPr>
          <w:sz w:val="20"/>
          <w:szCs w:val="20"/>
        </w:rPr>
      </w:pPr>
      <w:r>
        <w:rPr>
          <w:sz w:val="20"/>
          <w:szCs w:val="20"/>
        </w:rPr>
        <w:t>The most interesting data about e-commerce collected through our questionnaire is certainly the ones about buying or ordering goods or services over the Internet</w:t>
      </w:r>
      <w:r w:rsidR="00BB3820">
        <w:rPr>
          <w:sz w:val="20"/>
          <w:szCs w:val="20"/>
        </w:rPr>
        <w:t xml:space="preserve"> for private use</w:t>
      </w:r>
      <w:r>
        <w:rPr>
          <w:sz w:val="20"/>
          <w:szCs w:val="20"/>
        </w:rPr>
        <w:t xml:space="preserve">. </w:t>
      </w:r>
      <w:r w:rsidR="00E817B0">
        <w:rPr>
          <w:sz w:val="20"/>
          <w:szCs w:val="20"/>
        </w:rPr>
        <w:t xml:space="preserve">As table 3 shows </w:t>
      </w:r>
      <w:r w:rsidR="00273452">
        <w:rPr>
          <w:sz w:val="20"/>
          <w:szCs w:val="20"/>
        </w:rPr>
        <w:t xml:space="preserve">71.43% of NSSB students bought or ordered goods or services over the Internet for private use in 2016, which is a higher percentage comparing to 16-24 years old population in Serbia (48.70%) and Europe-28 (67%). However, </w:t>
      </w:r>
      <w:r w:rsidR="004E690F">
        <w:rPr>
          <w:sz w:val="20"/>
          <w:szCs w:val="20"/>
        </w:rPr>
        <w:t xml:space="preserve">the percentage of </w:t>
      </w:r>
      <w:r w:rsidR="00273452">
        <w:rPr>
          <w:sz w:val="20"/>
          <w:szCs w:val="20"/>
        </w:rPr>
        <w:t xml:space="preserve">buying and ordering in the last three months </w:t>
      </w:r>
      <w:r w:rsidR="004E690F">
        <w:rPr>
          <w:sz w:val="20"/>
          <w:szCs w:val="20"/>
        </w:rPr>
        <w:t>has the highest value in Europe-28 (54%), while it is much lower for NSSB (33.67%) and Serbia</w:t>
      </w:r>
      <w:r w:rsidR="00AF3A34">
        <w:rPr>
          <w:sz w:val="20"/>
          <w:szCs w:val="20"/>
        </w:rPr>
        <w:t xml:space="preserve"> (31.50%). Still, NSSB students' percentages of buying and ordering over the Internet for private use in the last three months are very encouraging since they show a growth of 21.94% comparing to 2011. In the same period the percentage of students that have never ordered or bought </w:t>
      </w:r>
      <w:r w:rsidR="00AF3A34" w:rsidRPr="00754064">
        <w:rPr>
          <w:sz w:val="20"/>
          <w:szCs w:val="20"/>
        </w:rPr>
        <w:t xml:space="preserve">goods </w:t>
      </w:r>
      <w:r w:rsidR="00AF3A34">
        <w:rPr>
          <w:sz w:val="20"/>
          <w:szCs w:val="20"/>
        </w:rPr>
        <w:t xml:space="preserve">or services </w:t>
      </w:r>
      <w:r w:rsidR="00AF3A34" w:rsidRPr="00754064">
        <w:rPr>
          <w:sz w:val="20"/>
          <w:szCs w:val="20"/>
        </w:rPr>
        <w:t>over the Internet for private use</w:t>
      </w:r>
      <w:r w:rsidR="00AF3A34">
        <w:rPr>
          <w:sz w:val="20"/>
          <w:szCs w:val="20"/>
        </w:rPr>
        <w:t xml:space="preserve"> dropped from 74.49% to 18.37%.</w:t>
      </w:r>
    </w:p>
    <w:p w:rsidR="00C620D7" w:rsidRDefault="00C620D7" w:rsidP="00725C5D">
      <w:pPr>
        <w:jc w:val="both"/>
        <w:rPr>
          <w:sz w:val="20"/>
          <w:szCs w:val="20"/>
        </w:rPr>
      </w:pPr>
    </w:p>
    <w:p w:rsidR="00BB3820" w:rsidRDefault="00BB3820" w:rsidP="00BB3820">
      <w:pPr>
        <w:jc w:val="center"/>
        <w:rPr>
          <w:sz w:val="20"/>
          <w:szCs w:val="20"/>
        </w:rPr>
      </w:pPr>
      <w:r>
        <w:rPr>
          <w:b/>
          <w:sz w:val="20"/>
          <w:szCs w:val="22"/>
        </w:rPr>
        <w:t xml:space="preserve">Table 3: </w:t>
      </w:r>
      <w:r>
        <w:rPr>
          <w:sz w:val="20"/>
          <w:szCs w:val="20"/>
        </w:rPr>
        <w:t>L</w:t>
      </w:r>
      <w:r w:rsidRPr="00754064">
        <w:rPr>
          <w:sz w:val="20"/>
          <w:szCs w:val="20"/>
        </w:rPr>
        <w:t>ast buy</w:t>
      </w:r>
      <w:r>
        <w:rPr>
          <w:sz w:val="20"/>
          <w:szCs w:val="20"/>
        </w:rPr>
        <w:t>ing</w:t>
      </w:r>
      <w:r w:rsidRPr="00754064">
        <w:rPr>
          <w:sz w:val="20"/>
          <w:szCs w:val="20"/>
        </w:rPr>
        <w:t xml:space="preserve"> or order</w:t>
      </w:r>
      <w:r>
        <w:rPr>
          <w:sz w:val="20"/>
          <w:szCs w:val="20"/>
        </w:rPr>
        <w:t>ing of</w:t>
      </w:r>
      <w:r w:rsidRPr="00754064">
        <w:rPr>
          <w:sz w:val="20"/>
          <w:szCs w:val="20"/>
        </w:rPr>
        <w:t xml:space="preserve"> goods </w:t>
      </w:r>
      <w:r>
        <w:rPr>
          <w:sz w:val="20"/>
          <w:szCs w:val="20"/>
        </w:rPr>
        <w:t xml:space="preserve">or services </w:t>
      </w:r>
      <w:r w:rsidRPr="00754064">
        <w:rPr>
          <w:sz w:val="20"/>
          <w:szCs w:val="20"/>
        </w:rPr>
        <w:t>over the Internet for private use</w:t>
      </w:r>
      <w:r w:rsidR="001E577F">
        <w:rPr>
          <w:sz w:val="20"/>
          <w:szCs w:val="20"/>
        </w:rPr>
        <w:t xml:space="preserve"> </w:t>
      </w:r>
      <w:r w:rsidR="004E690F">
        <w:rPr>
          <w:sz w:val="20"/>
          <w:szCs w:val="20"/>
        </w:rPr>
        <w:br/>
      </w:r>
      <w:r w:rsidR="001E577F">
        <w:rPr>
          <w:sz w:val="20"/>
          <w:szCs w:val="20"/>
        </w:rPr>
        <w:t>(2016</w:t>
      </w:r>
      <w:r w:rsidR="004E690F">
        <w:rPr>
          <w:sz w:val="20"/>
          <w:szCs w:val="20"/>
        </w:rPr>
        <w:t>, 16-24 years old population for Serbia and EU</w:t>
      </w:r>
      <w:r w:rsidR="001E577F">
        <w:rPr>
          <w:sz w:val="20"/>
          <w:szCs w:val="20"/>
        </w:rPr>
        <w:t>)</w:t>
      </w:r>
    </w:p>
    <w:tbl>
      <w:tblPr>
        <w:tblW w:w="6660" w:type="dxa"/>
        <w:jc w:val="center"/>
        <w:tblInd w:w="93" w:type="dxa"/>
        <w:tblLook w:val="04A0"/>
      </w:tblPr>
      <w:tblGrid>
        <w:gridCol w:w="3780"/>
        <w:gridCol w:w="960"/>
        <w:gridCol w:w="960"/>
        <w:gridCol w:w="960"/>
      </w:tblGrid>
      <w:tr w:rsidR="00C620D7" w:rsidTr="00BB3820">
        <w:trPr>
          <w:trHeight w:val="300"/>
          <w:jc w:val="center"/>
        </w:trPr>
        <w:tc>
          <w:tcPr>
            <w:tcW w:w="3780" w:type="dxa"/>
            <w:tcBorders>
              <w:top w:val="nil"/>
              <w:left w:val="nil"/>
              <w:bottom w:val="single" w:sz="4" w:space="0" w:color="auto"/>
              <w:right w:val="single" w:sz="4" w:space="0" w:color="auto"/>
            </w:tcBorders>
            <w:shd w:val="clear" w:color="auto" w:fill="auto"/>
            <w:noWrap/>
            <w:vAlign w:val="bottom"/>
            <w:hideMark/>
          </w:tcPr>
          <w:p w:rsidR="00C620D7" w:rsidRPr="00BB3820" w:rsidRDefault="00C620D7" w:rsidP="00BB3820">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20D7" w:rsidRPr="00BB3820" w:rsidRDefault="00C620D7" w:rsidP="00BB3820">
            <w:pPr>
              <w:rPr>
                <w:color w:val="000000"/>
                <w:sz w:val="20"/>
                <w:szCs w:val="20"/>
              </w:rPr>
            </w:pPr>
            <w:r w:rsidRPr="00BB3820">
              <w:rPr>
                <w:color w:val="000000"/>
                <w:sz w:val="20"/>
                <w:szCs w:val="20"/>
              </w:rPr>
              <w:t>NSSB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20D7" w:rsidRPr="00BB3820" w:rsidRDefault="00C620D7" w:rsidP="00BB3820">
            <w:pPr>
              <w:rPr>
                <w:color w:val="000000"/>
                <w:sz w:val="20"/>
                <w:szCs w:val="20"/>
              </w:rPr>
            </w:pPr>
            <w:r w:rsidRPr="00BB3820">
              <w:rPr>
                <w:color w:val="000000"/>
                <w:sz w:val="20"/>
                <w:szCs w:val="20"/>
              </w:rPr>
              <w:t>Serbia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20D7" w:rsidRPr="00BB3820" w:rsidRDefault="00C620D7" w:rsidP="00BB3820">
            <w:pPr>
              <w:rPr>
                <w:color w:val="000000"/>
                <w:sz w:val="20"/>
                <w:szCs w:val="20"/>
              </w:rPr>
            </w:pPr>
            <w:r w:rsidRPr="00BB3820">
              <w:rPr>
                <w:color w:val="000000"/>
                <w:sz w:val="20"/>
                <w:szCs w:val="20"/>
              </w:rPr>
              <w:t>EU(28)</w:t>
            </w:r>
          </w:p>
        </w:tc>
      </w:tr>
      <w:tr w:rsidR="00C620D7" w:rsidTr="00BB3820">
        <w:trPr>
          <w:trHeight w:val="300"/>
          <w:jc w:val="center"/>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C620D7" w:rsidRPr="00BB3820" w:rsidRDefault="00C620D7" w:rsidP="00BB3820">
            <w:pPr>
              <w:rPr>
                <w:color w:val="000000"/>
                <w:sz w:val="20"/>
                <w:szCs w:val="20"/>
              </w:rPr>
            </w:pPr>
            <w:r w:rsidRPr="00BB3820">
              <w:rPr>
                <w:color w:val="000000"/>
                <w:sz w:val="20"/>
                <w:szCs w:val="20"/>
              </w:rPr>
              <w:t>In the last 3 months</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33</w:t>
            </w:r>
            <w:r w:rsidR="00BB3820">
              <w:rPr>
                <w:sz w:val="20"/>
                <w:szCs w:val="20"/>
              </w:rPr>
              <w:t>.</w:t>
            </w:r>
            <w:r w:rsidRPr="00BB3820">
              <w:rPr>
                <w:sz w:val="20"/>
                <w:szCs w:val="20"/>
              </w:rPr>
              <w:t>67%</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31</w:t>
            </w:r>
            <w:r w:rsidR="00BB3820">
              <w:rPr>
                <w:sz w:val="20"/>
                <w:szCs w:val="20"/>
              </w:rPr>
              <w:t>.</w:t>
            </w:r>
            <w:r w:rsidRPr="00BB3820">
              <w:rPr>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54</w:t>
            </w:r>
            <w:r w:rsidR="00BB3820">
              <w:rPr>
                <w:sz w:val="20"/>
                <w:szCs w:val="20"/>
              </w:rPr>
              <w:t>.</w:t>
            </w:r>
            <w:r w:rsidRPr="00BB3820">
              <w:rPr>
                <w:sz w:val="20"/>
                <w:szCs w:val="20"/>
              </w:rPr>
              <w:t>00%</w:t>
            </w:r>
          </w:p>
        </w:tc>
      </w:tr>
      <w:tr w:rsidR="00C620D7" w:rsidTr="00BB3820">
        <w:trPr>
          <w:trHeight w:val="300"/>
          <w:jc w:val="center"/>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C620D7" w:rsidRPr="00BB3820" w:rsidRDefault="00C620D7" w:rsidP="00BB3820">
            <w:pPr>
              <w:rPr>
                <w:color w:val="000000"/>
                <w:sz w:val="20"/>
                <w:szCs w:val="20"/>
              </w:rPr>
            </w:pPr>
            <w:r w:rsidRPr="00BB3820">
              <w:rPr>
                <w:color w:val="000000"/>
                <w:sz w:val="20"/>
                <w:szCs w:val="20"/>
              </w:rPr>
              <w:t>Between 3 and 12 months ago</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37</w:t>
            </w:r>
            <w:r w:rsidR="00BB3820">
              <w:rPr>
                <w:sz w:val="20"/>
                <w:szCs w:val="20"/>
              </w:rPr>
              <w:t>.</w:t>
            </w:r>
            <w:r w:rsidRPr="00BB3820">
              <w:rPr>
                <w:sz w:val="20"/>
                <w:szCs w:val="20"/>
              </w:rPr>
              <w:t>76%</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17</w:t>
            </w:r>
            <w:r w:rsidR="00BB3820">
              <w:rPr>
                <w:sz w:val="20"/>
                <w:szCs w:val="20"/>
              </w:rPr>
              <w:t>.</w:t>
            </w:r>
            <w:r w:rsidRPr="00BB3820">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13</w:t>
            </w:r>
            <w:r w:rsidR="00BB3820">
              <w:rPr>
                <w:sz w:val="20"/>
                <w:szCs w:val="20"/>
              </w:rPr>
              <w:t>.</w:t>
            </w:r>
            <w:r w:rsidRPr="00BB3820">
              <w:rPr>
                <w:sz w:val="20"/>
                <w:szCs w:val="20"/>
              </w:rPr>
              <w:t>00%</w:t>
            </w:r>
          </w:p>
        </w:tc>
      </w:tr>
      <w:tr w:rsidR="00C620D7" w:rsidTr="00BB3820">
        <w:trPr>
          <w:trHeight w:val="300"/>
          <w:jc w:val="center"/>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C620D7" w:rsidRPr="00BB3820" w:rsidRDefault="00C620D7" w:rsidP="00BB3820">
            <w:pPr>
              <w:rPr>
                <w:color w:val="000000"/>
                <w:sz w:val="20"/>
                <w:szCs w:val="20"/>
              </w:rPr>
            </w:pPr>
            <w:r w:rsidRPr="00BB3820">
              <w:rPr>
                <w:color w:val="000000"/>
                <w:sz w:val="20"/>
                <w:szCs w:val="20"/>
              </w:rPr>
              <w:t>More than a year ago</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10</w:t>
            </w:r>
            <w:r w:rsidR="00BB3820">
              <w:rPr>
                <w:sz w:val="20"/>
                <w:szCs w:val="20"/>
              </w:rPr>
              <w:t>.</w:t>
            </w:r>
            <w:r w:rsidRPr="00BB3820">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8</w:t>
            </w:r>
            <w:r w:rsidR="00BB3820">
              <w:rPr>
                <w:sz w:val="20"/>
                <w:szCs w:val="20"/>
              </w:rPr>
              <w:t>.</w:t>
            </w:r>
            <w:r w:rsidRPr="00BB3820">
              <w:rPr>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7</w:t>
            </w:r>
            <w:r w:rsidR="00BB3820">
              <w:rPr>
                <w:sz w:val="20"/>
                <w:szCs w:val="20"/>
              </w:rPr>
              <w:t>.</w:t>
            </w:r>
            <w:r w:rsidRPr="00BB3820">
              <w:rPr>
                <w:sz w:val="20"/>
                <w:szCs w:val="20"/>
              </w:rPr>
              <w:t>00%</w:t>
            </w:r>
          </w:p>
        </w:tc>
      </w:tr>
      <w:tr w:rsidR="00C620D7" w:rsidTr="00BB3820">
        <w:trPr>
          <w:trHeight w:val="300"/>
          <w:jc w:val="center"/>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C620D7" w:rsidRPr="00BB3820" w:rsidRDefault="00C620D7" w:rsidP="00BB3820">
            <w:pPr>
              <w:rPr>
                <w:color w:val="000000"/>
                <w:sz w:val="20"/>
                <w:szCs w:val="20"/>
              </w:rPr>
            </w:pPr>
            <w:r w:rsidRPr="00BB3820">
              <w:rPr>
                <w:color w:val="000000"/>
                <w:sz w:val="20"/>
                <w:szCs w:val="20"/>
              </w:rPr>
              <w:t>Have never ordered</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18</w:t>
            </w:r>
            <w:r w:rsidR="00BB3820">
              <w:rPr>
                <w:sz w:val="20"/>
                <w:szCs w:val="20"/>
              </w:rPr>
              <w:t>.</w:t>
            </w:r>
            <w:r w:rsidRPr="00BB3820">
              <w:rPr>
                <w:sz w:val="20"/>
                <w:szCs w:val="20"/>
              </w:rPr>
              <w:t>37%</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43</w:t>
            </w:r>
            <w:r w:rsidR="00BB3820">
              <w:rPr>
                <w:sz w:val="20"/>
                <w:szCs w:val="20"/>
              </w:rPr>
              <w:t>.</w:t>
            </w:r>
            <w:r w:rsidRPr="00BB3820">
              <w:rPr>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C620D7" w:rsidRPr="00BB3820" w:rsidRDefault="00C620D7" w:rsidP="00BB3820">
            <w:pPr>
              <w:rPr>
                <w:sz w:val="20"/>
                <w:szCs w:val="20"/>
              </w:rPr>
            </w:pPr>
            <w:r w:rsidRPr="00BB3820">
              <w:rPr>
                <w:sz w:val="20"/>
                <w:szCs w:val="20"/>
              </w:rPr>
              <w:t>31</w:t>
            </w:r>
            <w:r w:rsidR="00BB3820">
              <w:rPr>
                <w:sz w:val="20"/>
                <w:szCs w:val="20"/>
              </w:rPr>
              <w:t>.</w:t>
            </w:r>
            <w:r w:rsidRPr="00BB3820">
              <w:rPr>
                <w:sz w:val="20"/>
                <w:szCs w:val="20"/>
              </w:rPr>
              <w:t>00%</w:t>
            </w:r>
          </w:p>
        </w:tc>
      </w:tr>
    </w:tbl>
    <w:p w:rsidR="00C620D7" w:rsidRDefault="00C620D7" w:rsidP="00725C5D">
      <w:pPr>
        <w:jc w:val="both"/>
        <w:rPr>
          <w:sz w:val="20"/>
          <w:szCs w:val="20"/>
        </w:rPr>
      </w:pPr>
    </w:p>
    <w:p w:rsidR="00D83235" w:rsidRDefault="00933ED1" w:rsidP="00725C5D">
      <w:pPr>
        <w:jc w:val="both"/>
        <w:rPr>
          <w:sz w:val="20"/>
          <w:szCs w:val="20"/>
        </w:rPr>
      </w:pPr>
      <w:r>
        <w:rPr>
          <w:sz w:val="20"/>
          <w:szCs w:val="20"/>
        </w:rPr>
        <w:t xml:space="preserve">The last data that are presented in this paper are covering buying and ordering of goods and services over the Internet in the last 12 months for private use. </w:t>
      </w:r>
      <w:r w:rsidR="00F63276">
        <w:rPr>
          <w:sz w:val="20"/>
          <w:szCs w:val="20"/>
        </w:rPr>
        <w:t>As the table 4 shows</w:t>
      </w:r>
      <w:r w:rsidR="00FC5499">
        <w:rPr>
          <w:sz w:val="20"/>
          <w:szCs w:val="20"/>
        </w:rPr>
        <w:t>, regarding NSSB students,</w:t>
      </w:r>
      <w:r w:rsidR="00F63276">
        <w:rPr>
          <w:sz w:val="20"/>
          <w:szCs w:val="20"/>
        </w:rPr>
        <w:t xml:space="preserve"> the most popular category </w:t>
      </w:r>
      <w:r w:rsidR="008B67C2">
        <w:rPr>
          <w:sz w:val="20"/>
          <w:szCs w:val="20"/>
        </w:rPr>
        <w:t>in 2016 was</w:t>
      </w:r>
      <w:r w:rsidR="00F63276">
        <w:rPr>
          <w:sz w:val="20"/>
          <w:szCs w:val="20"/>
        </w:rPr>
        <w:t xml:space="preserve"> the one representing clothes and sports goods. This was expected because this category has been on</w:t>
      </w:r>
      <w:r w:rsidR="00FC5499">
        <w:rPr>
          <w:sz w:val="20"/>
          <w:szCs w:val="20"/>
        </w:rPr>
        <w:t xml:space="preserve"> the top in all previous years, starting with 11% in 2011 and ending in 2016 with 52.86%. It is interesting to point out that, for the 16-24 years old population</w:t>
      </w:r>
      <w:r w:rsidR="008B67C2">
        <w:rPr>
          <w:sz w:val="20"/>
          <w:szCs w:val="20"/>
        </w:rPr>
        <w:t xml:space="preserve"> in the same 2016 year</w:t>
      </w:r>
      <w:r w:rsidR="00FC5499">
        <w:rPr>
          <w:sz w:val="20"/>
          <w:szCs w:val="20"/>
        </w:rPr>
        <w:t>, clothes and sports goods are the favorite category when it comes to buying and ordering over Internet in Serbia (57.2%)</w:t>
      </w:r>
      <w:r w:rsidR="00ED6136">
        <w:rPr>
          <w:sz w:val="20"/>
          <w:szCs w:val="20"/>
        </w:rPr>
        <w:t xml:space="preserve"> and Europe-28 (46%) as well. Concerning NSSB students, the category "other" had the second highest percentage (27.14%)</w:t>
      </w:r>
      <w:r w:rsidR="008B67C2">
        <w:rPr>
          <w:sz w:val="20"/>
          <w:szCs w:val="20"/>
        </w:rPr>
        <w:t xml:space="preserve">, followed by </w:t>
      </w:r>
      <w:r w:rsidR="008B67C2" w:rsidRPr="008B67C2">
        <w:rPr>
          <w:sz w:val="20"/>
          <w:szCs w:val="20"/>
        </w:rPr>
        <w:t>pharmaceutical products</w:t>
      </w:r>
      <w:r w:rsidR="008B67C2">
        <w:rPr>
          <w:sz w:val="20"/>
          <w:szCs w:val="20"/>
        </w:rPr>
        <w:t xml:space="preserve"> (15.71%)</w:t>
      </w:r>
      <w:r w:rsidR="008B67C2" w:rsidRPr="008B67C2">
        <w:rPr>
          <w:sz w:val="20"/>
          <w:szCs w:val="20"/>
        </w:rPr>
        <w:t>, tickets for cultural events</w:t>
      </w:r>
      <w:r w:rsidR="008B67C2">
        <w:rPr>
          <w:sz w:val="20"/>
          <w:szCs w:val="20"/>
        </w:rPr>
        <w:t xml:space="preserve"> (14.29%)</w:t>
      </w:r>
      <w:r w:rsidR="008B67C2" w:rsidRPr="008B67C2">
        <w:rPr>
          <w:sz w:val="20"/>
          <w:szCs w:val="20"/>
        </w:rPr>
        <w:t>, hotel accommodation (</w:t>
      </w:r>
      <w:r w:rsidR="008B67C2">
        <w:rPr>
          <w:sz w:val="20"/>
          <w:szCs w:val="20"/>
        </w:rPr>
        <w:t>14.29%</w:t>
      </w:r>
      <w:r w:rsidR="008B67C2" w:rsidRPr="008B67C2">
        <w:rPr>
          <w:sz w:val="20"/>
          <w:szCs w:val="20"/>
        </w:rPr>
        <w:t>), food or groceries</w:t>
      </w:r>
      <w:r w:rsidR="00875865">
        <w:rPr>
          <w:sz w:val="20"/>
          <w:szCs w:val="20"/>
        </w:rPr>
        <w:t xml:space="preserve"> (12.86%)</w:t>
      </w:r>
      <w:r w:rsidR="008B67C2" w:rsidRPr="008B67C2">
        <w:rPr>
          <w:sz w:val="20"/>
          <w:szCs w:val="20"/>
        </w:rPr>
        <w:t>, electronic equipment (</w:t>
      </w:r>
      <w:r w:rsidR="00875865">
        <w:rPr>
          <w:sz w:val="20"/>
          <w:szCs w:val="20"/>
        </w:rPr>
        <w:t>10%</w:t>
      </w:r>
      <w:r w:rsidR="008B67C2" w:rsidRPr="008B67C2">
        <w:rPr>
          <w:sz w:val="20"/>
          <w:szCs w:val="20"/>
        </w:rPr>
        <w:t>)</w:t>
      </w:r>
      <w:r w:rsidR="00875865">
        <w:rPr>
          <w:sz w:val="20"/>
          <w:szCs w:val="20"/>
        </w:rPr>
        <w:t xml:space="preserve"> and so on. </w:t>
      </w:r>
    </w:p>
    <w:p w:rsidR="00754064" w:rsidRDefault="00754064" w:rsidP="00725C5D">
      <w:pPr>
        <w:jc w:val="both"/>
        <w:rPr>
          <w:sz w:val="20"/>
          <w:szCs w:val="20"/>
        </w:rPr>
      </w:pPr>
    </w:p>
    <w:p w:rsidR="009252FC" w:rsidRDefault="009252FC" w:rsidP="009252FC">
      <w:pPr>
        <w:jc w:val="center"/>
        <w:rPr>
          <w:sz w:val="20"/>
          <w:szCs w:val="20"/>
        </w:rPr>
      </w:pPr>
      <w:r>
        <w:rPr>
          <w:b/>
          <w:sz w:val="20"/>
          <w:szCs w:val="22"/>
        </w:rPr>
        <w:t xml:space="preserve">Table 4: </w:t>
      </w:r>
      <w:r>
        <w:rPr>
          <w:sz w:val="20"/>
          <w:szCs w:val="20"/>
        </w:rPr>
        <w:t>T</w:t>
      </w:r>
      <w:r w:rsidRPr="00754064">
        <w:rPr>
          <w:sz w:val="20"/>
          <w:szCs w:val="20"/>
        </w:rPr>
        <w:t xml:space="preserve">ypes of goods or services </w:t>
      </w:r>
      <w:r>
        <w:rPr>
          <w:sz w:val="20"/>
          <w:szCs w:val="20"/>
        </w:rPr>
        <w:t xml:space="preserve">that NSSB students </w:t>
      </w:r>
      <w:r w:rsidRPr="00754064">
        <w:rPr>
          <w:sz w:val="20"/>
          <w:szCs w:val="20"/>
        </w:rPr>
        <w:t xml:space="preserve">bought or ordered </w:t>
      </w:r>
      <w:r>
        <w:rPr>
          <w:sz w:val="20"/>
          <w:szCs w:val="20"/>
        </w:rPr>
        <w:br/>
      </w:r>
      <w:r w:rsidRPr="00754064">
        <w:rPr>
          <w:sz w:val="20"/>
          <w:szCs w:val="20"/>
        </w:rPr>
        <w:t>over the Internet in the last 12 months</w:t>
      </w:r>
      <w:r>
        <w:rPr>
          <w:sz w:val="20"/>
          <w:szCs w:val="20"/>
        </w:rPr>
        <w:t xml:space="preserve"> for private use</w:t>
      </w:r>
    </w:p>
    <w:tbl>
      <w:tblPr>
        <w:tblW w:w="574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910"/>
      </w:tblGrid>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Clothes, sports goods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52</w:t>
            </w:r>
            <w:r w:rsidR="00FC5499">
              <w:rPr>
                <w:color w:val="000000"/>
                <w:sz w:val="20"/>
                <w:szCs w:val="20"/>
              </w:rPr>
              <w:t>.</w:t>
            </w:r>
            <w:r w:rsidRPr="009252FC">
              <w:rPr>
                <w:color w:val="000000"/>
                <w:sz w:val="20"/>
                <w:szCs w:val="20"/>
              </w:rPr>
              <w:t>86%</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Other</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27</w:t>
            </w:r>
            <w:r w:rsidR="00FC5499">
              <w:rPr>
                <w:color w:val="000000"/>
                <w:sz w:val="20"/>
                <w:szCs w:val="20"/>
              </w:rPr>
              <w:t>.</w:t>
            </w:r>
            <w:r w:rsidRPr="009252FC">
              <w:rPr>
                <w:color w:val="000000"/>
                <w:sz w:val="20"/>
                <w:szCs w:val="20"/>
              </w:rPr>
              <w:t>14%</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Pharmaceutical products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15</w:t>
            </w:r>
            <w:r w:rsidR="00FC5499">
              <w:rPr>
                <w:color w:val="000000"/>
                <w:sz w:val="20"/>
                <w:szCs w:val="20"/>
              </w:rPr>
              <w:t>.</w:t>
            </w:r>
            <w:r w:rsidRPr="009252FC">
              <w:rPr>
                <w:color w:val="000000"/>
                <w:sz w:val="20"/>
                <w:szCs w:val="20"/>
              </w:rPr>
              <w:t>71%</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Tickets for cultural events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14</w:t>
            </w:r>
            <w:r w:rsidR="00FC5499">
              <w:rPr>
                <w:color w:val="000000"/>
                <w:sz w:val="20"/>
                <w:szCs w:val="20"/>
              </w:rPr>
              <w:t>.</w:t>
            </w:r>
            <w:r w:rsidRPr="009252FC">
              <w:rPr>
                <w:color w:val="000000"/>
                <w:sz w:val="20"/>
                <w:szCs w:val="20"/>
              </w:rPr>
              <w:t>29%</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8B67C2">
            <w:pPr>
              <w:rPr>
                <w:color w:val="000000"/>
                <w:sz w:val="20"/>
                <w:szCs w:val="20"/>
              </w:rPr>
            </w:pPr>
            <w:r w:rsidRPr="009252FC">
              <w:rPr>
                <w:color w:val="000000"/>
                <w:sz w:val="20"/>
                <w:szCs w:val="20"/>
              </w:rPr>
              <w:t xml:space="preserve">Hotel accommodation </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14</w:t>
            </w:r>
            <w:r w:rsidR="00FC5499">
              <w:rPr>
                <w:color w:val="000000"/>
                <w:sz w:val="20"/>
                <w:szCs w:val="20"/>
              </w:rPr>
              <w:t>.</w:t>
            </w:r>
            <w:r w:rsidRPr="009252FC">
              <w:rPr>
                <w:color w:val="000000"/>
                <w:sz w:val="20"/>
                <w:szCs w:val="20"/>
              </w:rPr>
              <w:t>29%</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Food or groceries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12</w:t>
            </w:r>
            <w:r w:rsidR="00FC5499">
              <w:rPr>
                <w:color w:val="000000"/>
                <w:sz w:val="20"/>
                <w:szCs w:val="20"/>
              </w:rPr>
              <w:t>.</w:t>
            </w:r>
            <w:r w:rsidRPr="009252FC">
              <w:rPr>
                <w:color w:val="000000"/>
                <w:sz w:val="20"/>
                <w:szCs w:val="20"/>
              </w:rPr>
              <w:t>86%</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Electronic equipment (incl. cameras)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10</w:t>
            </w:r>
            <w:r w:rsidR="00FC5499">
              <w:rPr>
                <w:color w:val="000000"/>
                <w:sz w:val="20"/>
                <w:szCs w:val="20"/>
              </w:rPr>
              <w:t>.</w:t>
            </w:r>
            <w:r w:rsidRPr="009252FC">
              <w:rPr>
                <w:color w:val="000000"/>
                <w:sz w:val="20"/>
                <w:szCs w:val="20"/>
              </w:rPr>
              <w:t>00%</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Computer hardware</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8</w:t>
            </w:r>
            <w:r w:rsidR="00FC5499">
              <w:rPr>
                <w:color w:val="000000"/>
                <w:sz w:val="20"/>
                <w:szCs w:val="20"/>
              </w:rPr>
              <w:t>.</w:t>
            </w:r>
            <w:r w:rsidRPr="009252FC">
              <w:rPr>
                <w:color w:val="000000"/>
                <w:sz w:val="20"/>
                <w:szCs w:val="20"/>
              </w:rPr>
              <w:t>57%</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Films, music</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8</w:t>
            </w:r>
            <w:r w:rsidR="00FC5499">
              <w:rPr>
                <w:color w:val="000000"/>
                <w:sz w:val="20"/>
                <w:szCs w:val="20"/>
              </w:rPr>
              <w:t>.</w:t>
            </w:r>
            <w:r w:rsidRPr="009252FC">
              <w:rPr>
                <w:color w:val="000000"/>
                <w:sz w:val="20"/>
                <w:szCs w:val="20"/>
              </w:rPr>
              <w:t>57%</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Books/magazines/newspapers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7</w:t>
            </w:r>
            <w:r w:rsidR="00FC5499">
              <w:rPr>
                <w:color w:val="000000"/>
                <w:sz w:val="20"/>
                <w:szCs w:val="20"/>
              </w:rPr>
              <w:t>.</w:t>
            </w:r>
            <w:r w:rsidRPr="009252FC">
              <w:rPr>
                <w:color w:val="000000"/>
                <w:sz w:val="20"/>
                <w:szCs w:val="20"/>
              </w:rPr>
              <w:t>14%</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Other travel arrangements (transport tickets, car</w:t>
            </w:r>
            <w:r>
              <w:rPr>
                <w:color w:val="000000"/>
                <w:sz w:val="20"/>
                <w:szCs w:val="20"/>
              </w:rPr>
              <w:t xml:space="preserve"> </w:t>
            </w:r>
            <w:r w:rsidRPr="009252FC">
              <w:rPr>
                <w:color w:val="000000"/>
                <w:sz w:val="20"/>
                <w:szCs w:val="20"/>
              </w:rPr>
              <w:t>hire...)</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7</w:t>
            </w:r>
            <w:r w:rsidR="00FC5499">
              <w:rPr>
                <w:color w:val="000000"/>
                <w:sz w:val="20"/>
                <w:szCs w:val="20"/>
              </w:rPr>
              <w:t>.</w:t>
            </w:r>
            <w:r w:rsidRPr="009252FC">
              <w:rPr>
                <w:color w:val="000000"/>
                <w:sz w:val="20"/>
                <w:szCs w:val="20"/>
              </w:rPr>
              <w:t>14%</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Household goods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4</w:t>
            </w:r>
            <w:r w:rsidR="00FC5499">
              <w:rPr>
                <w:color w:val="000000"/>
                <w:sz w:val="20"/>
                <w:szCs w:val="20"/>
              </w:rPr>
              <w:t>.</w:t>
            </w:r>
            <w:r w:rsidRPr="009252FC">
              <w:rPr>
                <w:color w:val="000000"/>
                <w:sz w:val="20"/>
                <w:szCs w:val="20"/>
              </w:rPr>
              <w:t>29%</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Video games and upgrades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4</w:t>
            </w:r>
            <w:r w:rsidR="00FC5499">
              <w:rPr>
                <w:color w:val="000000"/>
                <w:sz w:val="20"/>
                <w:szCs w:val="20"/>
              </w:rPr>
              <w:t>.</w:t>
            </w:r>
            <w:r w:rsidRPr="009252FC">
              <w:rPr>
                <w:color w:val="000000"/>
                <w:sz w:val="20"/>
                <w:szCs w:val="20"/>
              </w:rPr>
              <w:t>29%</w:t>
            </w:r>
          </w:p>
        </w:tc>
      </w:tr>
      <w:tr w:rsidR="009252FC" w:rsidRPr="009252FC" w:rsidTr="009252FC">
        <w:trPr>
          <w:trHeight w:val="300"/>
          <w:jc w:val="center"/>
        </w:trPr>
        <w:tc>
          <w:tcPr>
            <w:tcW w:w="4835" w:type="dxa"/>
            <w:shd w:val="clear" w:color="auto" w:fill="auto"/>
            <w:noWrap/>
            <w:vAlign w:val="center"/>
            <w:hideMark/>
          </w:tcPr>
          <w:p w:rsidR="009252FC" w:rsidRPr="009252FC" w:rsidRDefault="009252FC" w:rsidP="009252FC">
            <w:pPr>
              <w:rPr>
                <w:color w:val="000000"/>
                <w:sz w:val="20"/>
                <w:szCs w:val="20"/>
              </w:rPr>
            </w:pPr>
            <w:r w:rsidRPr="009252FC">
              <w:rPr>
                <w:color w:val="000000"/>
                <w:sz w:val="20"/>
                <w:szCs w:val="20"/>
              </w:rPr>
              <w:t>Telecommunication services (broadband subscriptions,</w:t>
            </w:r>
            <w:r>
              <w:rPr>
                <w:color w:val="000000"/>
                <w:sz w:val="20"/>
                <w:szCs w:val="20"/>
              </w:rPr>
              <w:t xml:space="preserve"> </w:t>
            </w:r>
            <w:r w:rsidRPr="009252FC">
              <w:rPr>
                <w:color w:val="000000"/>
                <w:sz w:val="20"/>
                <w:szCs w:val="20"/>
              </w:rPr>
              <w:t>uploading money on prepaid phone, cards...)</w:t>
            </w:r>
          </w:p>
        </w:tc>
        <w:tc>
          <w:tcPr>
            <w:tcW w:w="910" w:type="dxa"/>
            <w:shd w:val="clear" w:color="auto" w:fill="auto"/>
            <w:noWrap/>
            <w:vAlign w:val="center"/>
            <w:hideMark/>
          </w:tcPr>
          <w:p w:rsidR="009252FC" w:rsidRPr="009252FC" w:rsidRDefault="009252FC" w:rsidP="009252FC">
            <w:pPr>
              <w:jc w:val="right"/>
              <w:rPr>
                <w:color w:val="000000"/>
                <w:sz w:val="20"/>
                <w:szCs w:val="20"/>
              </w:rPr>
            </w:pPr>
            <w:r w:rsidRPr="009252FC">
              <w:rPr>
                <w:color w:val="000000"/>
                <w:sz w:val="20"/>
                <w:szCs w:val="20"/>
              </w:rPr>
              <w:t>1</w:t>
            </w:r>
            <w:r w:rsidR="00FC5499">
              <w:rPr>
                <w:color w:val="000000"/>
                <w:sz w:val="20"/>
                <w:szCs w:val="20"/>
              </w:rPr>
              <w:t>.</w:t>
            </w:r>
            <w:r w:rsidRPr="009252FC">
              <w:rPr>
                <w:color w:val="000000"/>
                <w:sz w:val="20"/>
                <w:szCs w:val="20"/>
              </w:rPr>
              <w:t>43%</w:t>
            </w:r>
          </w:p>
        </w:tc>
      </w:tr>
    </w:tbl>
    <w:p w:rsidR="009252FC" w:rsidRPr="00096472" w:rsidRDefault="009252FC" w:rsidP="00725C5D">
      <w:pPr>
        <w:jc w:val="both"/>
        <w:rPr>
          <w:sz w:val="20"/>
          <w:szCs w:val="20"/>
        </w:rPr>
      </w:pPr>
    </w:p>
    <w:p w:rsidR="00DA1B85" w:rsidRDefault="00DA1B85" w:rsidP="00725C5D">
      <w:pPr>
        <w:jc w:val="both"/>
        <w:rPr>
          <w:b/>
          <w:sz w:val="22"/>
          <w:szCs w:val="22"/>
        </w:rPr>
      </w:pPr>
    </w:p>
    <w:p w:rsidR="00725C5D" w:rsidRPr="007931F7" w:rsidRDefault="00AB5FD7" w:rsidP="00725C5D">
      <w:pPr>
        <w:jc w:val="both"/>
        <w:rPr>
          <w:sz w:val="22"/>
          <w:szCs w:val="22"/>
        </w:rPr>
      </w:pPr>
      <w:r w:rsidRPr="007931F7">
        <w:rPr>
          <w:b/>
          <w:sz w:val="22"/>
          <w:szCs w:val="22"/>
        </w:rPr>
        <w:t>4</w:t>
      </w:r>
      <w:r w:rsidR="00725C5D" w:rsidRPr="007931F7">
        <w:rPr>
          <w:b/>
          <w:sz w:val="22"/>
          <w:szCs w:val="22"/>
        </w:rPr>
        <w:t xml:space="preserve">. </w:t>
      </w:r>
      <w:r w:rsidRPr="007931F7">
        <w:rPr>
          <w:b/>
          <w:sz w:val="22"/>
          <w:szCs w:val="22"/>
        </w:rPr>
        <w:t>CONCLUSIONS</w:t>
      </w:r>
    </w:p>
    <w:p w:rsidR="00725C5D" w:rsidRPr="007931F7" w:rsidRDefault="00725C5D" w:rsidP="00725C5D">
      <w:pPr>
        <w:jc w:val="both"/>
        <w:rPr>
          <w:sz w:val="20"/>
        </w:rPr>
      </w:pPr>
    </w:p>
    <w:p w:rsidR="00D4011A" w:rsidRDefault="00D4011A" w:rsidP="00725C5D">
      <w:pPr>
        <w:jc w:val="both"/>
        <w:rPr>
          <w:sz w:val="20"/>
        </w:rPr>
      </w:pPr>
      <w:r>
        <w:rPr>
          <w:sz w:val="20"/>
        </w:rPr>
        <w:t xml:space="preserve">The basic ICT indicators, concerning households having access to a computer and households with Internet access, show that NSSB students has </w:t>
      </w:r>
      <w:r w:rsidR="00550023">
        <w:rPr>
          <w:sz w:val="20"/>
        </w:rPr>
        <w:t>a great potential to become e-commerce consumers.</w:t>
      </w:r>
    </w:p>
    <w:p w:rsidR="00550023" w:rsidRDefault="00550023" w:rsidP="00725C5D">
      <w:pPr>
        <w:jc w:val="both"/>
        <w:rPr>
          <w:sz w:val="20"/>
        </w:rPr>
      </w:pPr>
      <w:r>
        <w:rPr>
          <w:sz w:val="20"/>
        </w:rPr>
        <w:t xml:space="preserve">The fact that, regarding devices used to access Internet from home, NSSB students are using more and more they mobile phones, should be a hint for e-commerce companies to try to reach them not only through traditional Internet advertising, but also via popular mobile phone applications. </w:t>
      </w:r>
    </w:p>
    <w:p w:rsidR="00AB69E3" w:rsidRDefault="00711741" w:rsidP="00725C5D">
      <w:pPr>
        <w:jc w:val="both"/>
        <w:rPr>
          <w:sz w:val="20"/>
        </w:rPr>
      </w:pPr>
      <w:r>
        <w:rPr>
          <w:sz w:val="20"/>
        </w:rPr>
        <w:t>Data about students' Internet activities</w:t>
      </w:r>
      <w:r w:rsidR="00725C5D" w:rsidRPr="007931F7">
        <w:rPr>
          <w:sz w:val="20"/>
        </w:rPr>
        <w:t xml:space="preserve"> </w:t>
      </w:r>
      <w:r>
        <w:rPr>
          <w:sz w:val="20"/>
        </w:rPr>
        <w:t xml:space="preserve">showed that </w:t>
      </w:r>
      <w:r w:rsidR="00D34C64">
        <w:rPr>
          <w:sz w:val="20"/>
        </w:rPr>
        <w:t>the one that they prefer</w:t>
      </w:r>
      <w:r>
        <w:rPr>
          <w:sz w:val="20"/>
        </w:rPr>
        <w:t xml:space="preserve"> is participating in social networks. Although this activity is not directly related to e-commerce, it is a strong sign to all </w:t>
      </w:r>
      <w:r w:rsidR="00D34C64">
        <w:rPr>
          <w:sz w:val="20"/>
        </w:rPr>
        <w:t xml:space="preserve">e-commerce companies that advertising in social networks is a good way to reach </w:t>
      </w:r>
      <w:r w:rsidR="009C020B">
        <w:rPr>
          <w:sz w:val="20"/>
        </w:rPr>
        <w:t xml:space="preserve">new customers, especially if their products or services are targeting students as market category. </w:t>
      </w:r>
    </w:p>
    <w:p w:rsidR="00725C5D" w:rsidRDefault="00AB69E3" w:rsidP="00725C5D">
      <w:pPr>
        <w:jc w:val="both"/>
        <w:rPr>
          <w:sz w:val="20"/>
        </w:rPr>
      </w:pPr>
      <w:r>
        <w:rPr>
          <w:sz w:val="20"/>
        </w:rPr>
        <w:t xml:space="preserve">Telephoning or making video calls using Internet is the activity that has </w:t>
      </w:r>
      <w:r w:rsidR="000B72B6">
        <w:rPr>
          <w:sz w:val="20"/>
        </w:rPr>
        <w:t xml:space="preserve">shown the highest growth of all NSSB students' </w:t>
      </w:r>
      <w:r w:rsidR="00261FE5">
        <w:rPr>
          <w:sz w:val="20"/>
        </w:rPr>
        <w:t>I</w:t>
      </w:r>
      <w:r w:rsidR="000B72B6">
        <w:rPr>
          <w:sz w:val="20"/>
        </w:rPr>
        <w:t>nternet activities (31.75</w:t>
      </w:r>
      <w:r w:rsidR="00261FE5">
        <w:rPr>
          <w:sz w:val="20"/>
        </w:rPr>
        <w:t>%</w:t>
      </w:r>
      <w:r w:rsidR="000B72B6">
        <w:rPr>
          <w:sz w:val="20"/>
        </w:rPr>
        <w:t xml:space="preserve">). This fact can be used by e-commerce companies by offering software apps as Skype to facilitate the communication with potential consumers, </w:t>
      </w:r>
      <w:r w:rsidR="00255A46">
        <w:rPr>
          <w:sz w:val="20"/>
        </w:rPr>
        <w:t xml:space="preserve">in the process of giving additional information about their products or services or while </w:t>
      </w:r>
      <w:r w:rsidR="009D3C43">
        <w:rPr>
          <w:sz w:val="20"/>
        </w:rPr>
        <w:t>providing</w:t>
      </w:r>
      <w:r w:rsidR="00255A46">
        <w:rPr>
          <w:sz w:val="20"/>
        </w:rPr>
        <w:t xml:space="preserve"> customer support services.</w:t>
      </w:r>
      <w:r w:rsidR="00261FE5">
        <w:rPr>
          <w:sz w:val="20"/>
        </w:rPr>
        <w:t xml:space="preserve"> </w:t>
      </w:r>
      <w:r w:rsidR="009D3C43">
        <w:rPr>
          <w:sz w:val="20"/>
        </w:rPr>
        <w:t>Giving to their customers the possibility to use the video communication would be a great advantage over the usage of phone or e-mail.</w:t>
      </w:r>
    </w:p>
    <w:p w:rsidR="005E6F5F" w:rsidRDefault="005E6F5F" w:rsidP="00725C5D">
      <w:pPr>
        <w:jc w:val="both"/>
        <w:rPr>
          <w:sz w:val="20"/>
          <w:szCs w:val="20"/>
        </w:rPr>
      </w:pPr>
      <w:r>
        <w:rPr>
          <w:sz w:val="20"/>
        </w:rPr>
        <w:t xml:space="preserve">Analyzing NSSB students' previous behavior while buying and ordering goods and services over Internet, it is obvious that e-commerce companies offering clothes and sports goods have the biggest chance to find future consumers among them. </w:t>
      </w:r>
      <w:r>
        <w:rPr>
          <w:sz w:val="20"/>
          <w:szCs w:val="20"/>
        </w:rPr>
        <w:t>P</w:t>
      </w:r>
      <w:r w:rsidRPr="008B67C2">
        <w:rPr>
          <w:sz w:val="20"/>
          <w:szCs w:val="20"/>
        </w:rPr>
        <w:t xml:space="preserve">harmaceutical products, hotel accommodation </w:t>
      </w:r>
      <w:r>
        <w:rPr>
          <w:sz w:val="20"/>
          <w:szCs w:val="20"/>
        </w:rPr>
        <w:t>and</w:t>
      </w:r>
      <w:r w:rsidRPr="008B67C2">
        <w:rPr>
          <w:sz w:val="20"/>
          <w:szCs w:val="20"/>
        </w:rPr>
        <w:t xml:space="preserve"> food or groceries</w:t>
      </w:r>
      <w:r>
        <w:rPr>
          <w:sz w:val="20"/>
          <w:szCs w:val="20"/>
        </w:rPr>
        <w:t xml:space="preserve"> should also be goods and services interesting for NSSB students. All of them are showing a considerable growth (from 8.54% to 10.85%) in 2016 comparing to the previous best percentage.</w:t>
      </w:r>
    </w:p>
    <w:p w:rsidR="00F6253A" w:rsidRPr="007931F7" w:rsidRDefault="00F6253A" w:rsidP="00725C5D">
      <w:pPr>
        <w:jc w:val="both"/>
        <w:rPr>
          <w:sz w:val="20"/>
        </w:rPr>
      </w:pPr>
      <w:r>
        <w:rPr>
          <w:sz w:val="20"/>
          <w:szCs w:val="20"/>
        </w:rPr>
        <w:t xml:space="preserve">Maybe the most intriguing category of goods or services bought or ordered over the Internet is the one named "other". Since it has the second highest percentage among NSSB students (27.14%) and a considerably high value (17.90%) for 16-24 years old Serbian population, it </w:t>
      </w:r>
      <w:r w:rsidR="0075300E">
        <w:rPr>
          <w:sz w:val="20"/>
          <w:szCs w:val="20"/>
        </w:rPr>
        <w:t xml:space="preserve">represents a valuable category of unknown goods or services. For that reason, e-commerce companies should gather additional data, </w:t>
      </w:r>
      <w:r w:rsidR="00EB5D8A">
        <w:rPr>
          <w:sz w:val="20"/>
          <w:szCs w:val="20"/>
        </w:rPr>
        <w:t>conducting their own surveys, finding which goods and services are hidden behind the "other" category.</w:t>
      </w:r>
      <w:r w:rsidR="0075300E">
        <w:rPr>
          <w:sz w:val="20"/>
          <w:szCs w:val="20"/>
        </w:rPr>
        <w:t xml:space="preserve"> </w:t>
      </w:r>
    </w:p>
    <w:p w:rsidR="00725C5D" w:rsidRDefault="00725C5D" w:rsidP="00725C5D">
      <w:pPr>
        <w:jc w:val="both"/>
        <w:rPr>
          <w:sz w:val="20"/>
        </w:rPr>
      </w:pPr>
    </w:p>
    <w:p w:rsidR="009C020B" w:rsidRDefault="009C020B" w:rsidP="00725C5D">
      <w:pPr>
        <w:jc w:val="both"/>
        <w:rPr>
          <w:sz w:val="20"/>
        </w:rPr>
      </w:pPr>
    </w:p>
    <w:p w:rsidR="000E4BE7" w:rsidRDefault="000E4BE7" w:rsidP="00725C5D">
      <w:pPr>
        <w:jc w:val="both"/>
        <w:rPr>
          <w:sz w:val="20"/>
        </w:rPr>
      </w:pPr>
    </w:p>
    <w:p w:rsidR="000E4BE7" w:rsidRDefault="000E4BE7" w:rsidP="00725C5D">
      <w:pPr>
        <w:jc w:val="both"/>
        <w:rPr>
          <w:sz w:val="20"/>
        </w:rPr>
      </w:pPr>
    </w:p>
    <w:p w:rsidR="00725C5D" w:rsidRPr="007931F7" w:rsidRDefault="00AB5FD7" w:rsidP="00725C5D">
      <w:pPr>
        <w:jc w:val="both"/>
        <w:rPr>
          <w:sz w:val="22"/>
          <w:szCs w:val="22"/>
        </w:rPr>
      </w:pPr>
      <w:r w:rsidRPr="007931F7">
        <w:rPr>
          <w:b/>
          <w:sz w:val="22"/>
          <w:szCs w:val="22"/>
        </w:rPr>
        <w:t>REFERENCES</w:t>
      </w:r>
    </w:p>
    <w:p w:rsidR="00725C5D" w:rsidRPr="007931F7" w:rsidRDefault="00725C5D" w:rsidP="00725C5D">
      <w:pPr>
        <w:jc w:val="both"/>
        <w:rPr>
          <w:sz w:val="20"/>
        </w:rPr>
      </w:pPr>
    </w:p>
    <w:p w:rsidR="0074099F" w:rsidRDefault="0074099F" w:rsidP="0074099F">
      <w:pPr>
        <w:widowControl w:val="0"/>
        <w:autoSpaceDE w:val="0"/>
        <w:autoSpaceDN w:val="0"/>
        <w:adjustRightInd w:val="0"/>
        <w:ind w:left="480" w:hanging="480"/>
        <w:rPr>
          <w:noProof/>
          <w:sz w:val="20"/>
        </w:rPr>
      </w:pPr>
      <w:r>
        <w:rPr>
          <w:noProof/>
          <w:sz w:val="20"/>
        </w:rPr>
        <w:t xml:space="preserve">[1] </w:t>
      </w:r>
      <w:r w:rsidRPr="0074099F">
        <w:rPr>
          <w:noProof/>
          <w:sz w:val="20"/>
        </w:rPr>
        <w:t xml:space="preserve">Laudon, K. &amp; Traver, C. (2016). </w:t>
      </w:r>
      <w:r w:rsidRPr="0074099F">
        <w:rPr>
          <w:i/>
          <w:noProof/>
          <w:sz w:val="20"/>
        </w:rPr>
        <w:t>E-Commerce 2016: business. technology. society</w:t>
      </w:r>
      <w:r w:rsidRPr="0074099F">
        <w:rPr>
          <w:noProof/>
          <w:sz w:val="20"/>
        </w:rPr>
        <w:t>. 12st</w:t>
      </w:r>
      <w:r>
        <w:rPr>
          <w:noProof/>
          <w:sz w:val="20"/>
        </w:rPr>
        <w:t xml:space="preserve"> </w:t>
      </w:r>
      <w:r w:rsidRPr="0074099F">
        <w:rPr>
          <w:noProof/>
          <w:sz w:val="20"/>
        </w:rPr>
        <w:t>ed. Boston: Pearson Education Limited.</w:t>
      </w:r>
    </w:p>
    <w:p w:rsidR="0074099F" w:rsidRDefault="0074099F" w:rsidP="0074099F">
      <w:pPr>
        <w:widowControl w:val="0"/>
        <w:autoSpaceDE w:val="0"/>
        <w:autoSpaceDN w:val="0"/>
        <w:adjustRightInd w:val="0"/>
        <w:ind w:left="480" w:hanging="480"/>
        <w:rPr>
          <w:noProof/>
          <w:sz w:val="20"/>
        </w:rPr>
      </w:pPr>
      <w:r>
        <w:rPr>
          <w:noProof/>
          <w:sz w:val="20"/>
        </w:rPr>
        <w:t xml:space="preserve">[2] Rahayu, R., Day J. (2015) </w:t>
      </w:r>
      <w:r w:rsidRPr="0074099F">
        <w:rPr>
          <w:i/>
          <w:noProof/>
          <w:sz w:val="20"/>
        </w:rPr>
        <w:t>Determinant Factors of E-commerce Adoption by SMEs in Developing</w:t>
      </w:r>
      <w:r>
        <w:rPr>
          <w:i/>
          <w:noProof/>
          <w:sz w:val="20"/>
        </w:rPr>
        <w:t xml:space="preserve"> </w:t>
      </w:r>
      <w:r w:rsidRPr="0074099F">
        <w:rPr>
          <w:i/>
          <w:noProof/>
          <w:sz w:val="20"/>
        </w:rPr>
        <w:t>Country: Evidence from Indonesia</w:t>
      </w:r>
      <w:r>
        <w:rPr>
          <w:noProof/>
          <w:sz w:val="20"/>
        </w:rPr>
        <w:t xml:space="preserve">, </w:t>
      </w:r>
      <w:r w:rsidRPr="0074099F">
        <w:rPr>
          <w:noProof/>
          <w:sz w:val="20"/>
        </w:rPr>
        <w:t>Procedia - Social and Behavioral Sciences 195</w:t>
      </w:r>
      <w:r>
        <w:rPr>
          <w:noProof/>
          <w:sz w:val="20"/>
        </w:rPr>
        <w:t>,</w:t>
      </w:r>
      <w:r w:rsidRPr="0074099F">
        <w:rPr>
          <w:noProof/>
          <w:sz w:val="20"/>
        </w:rPr>
        <w:t xml:space="preserve"> 142 – 150</w:t>
      </w:r>
    </w:p>
    <w:p w:rsidR="00EA1972" w:rsidRPr="00BE3CD2" w:rsidRDefault="00EA1972" w:rsidP="0074099F">
      <w:pPr>
        <w:widowControl w:val="0"/>
        <w:autoSpaceDE w:val="0"/>
        <w:autoSpaceDN w:val="0"/>
        <w:adjustRightInd w:val="0"/>
        <w:ind w:left="480" w:hanging="480"/>
        <w:rPr>
          <w:noProof/>
          <w:sz w:val="20"/>
        </w:rPr>
      </w:pPr>
      <w:r>
        <w:rPr>
          <w:noProof/>
          <w:sz w:val="20"/>
        </w:rPr>
        <w:t xml:space="preserve">[3] </w:t>
      </w:r>
      <w:r w:rsidR="00BE3CD2" w:rsidRPr="00BE3CD2">
        <w:rPr>
          <w:i/>
          <w:noProof/>
          <w:sz w:val="20"/>
        </w:rPr>
        <w:t>Cross-border E-commerce – Engine for Growth</w:t>
      </w:r>
      <w:r w:rsidR="00BE3CD2">
        <w:rPr>
          <w:noProof/>
          <w:sz w:val="20"/>
        </w:rPr>
        <w:t xml:space="preserve">, </w:t>
      </w:r>
      <w:r w:rsidR="00BE3CD2" w:rsidRPr="00BE3CD2">
        <w:rPr>
          <w:noProof/>
          <w:sz w:val="20"/>
        </w:rPr>
        <w:t>Position Paper by the Global Express Association</w:t>
      </w:r>
      <w:r w:rsidR="00BE3CD2">
        <w:rPr>
          <w:noProof/>
          <w:sz w:val="20"/>
        </w:rPr>
        <w:t>, January 2016</w:t>
      </w:r>
    </w:p>
    <w:p w:rsidR="007D17CD" w:rsidRPr="00046B6A" w:rsidRDefault="007D17CD" w:rsidP="007D17CD">
      <w:pPr>
        <w:widowControl w:val="0"/>
        <w:autoSpaceDE w:val="0"/>
        <w:autoSpaceDN w:val="0"/>
        <w:adjustRightInd w:val="0"/>
        <w:ind w:left="480" w:hanging="480"/>
        <w:rPr>
          <w:noProof/>
          <w:sz w:val="20"/>
        </w:rPr>
      </w:pPr>
      <w:r>
        <w:rPr>
          <w:noProof/>
          <w:sz w:val="20"/>
        </w:rPr>
        <w:t>[</w:t>
      </w:r>
      <w:r w:rsidR="00BE3CD2">
        <w:rPr>
          <w:noProof/>
          <w:sz w:val="20"/>
        </w:rPr>
        <w:t>4</w:t>
      </w:r>
      <w:r>
        <w:rPr>
          <w:noProof/>
          <w:sz w:val="20"/>
        </w:rPr>
        <w:t xml:space="preserve">] </w:t>
      </w:r>
      <w:r w:rsidRPr="00046B6A">
        <w:rPr>
          <w:noProof/>
          <w:sz w:val="20"/>
        </w:rPr>
        <w:t xml:space="preserve">Protic, D. (2012). </w:t>
      </w:r>
      <w:r w:rsidRPr="007D17CD">
        <w:rPr>
          <w:i/>
          <w:noProof/>
          <w:sz w:val="20"/>
        </w:rPr>
        <w:t>The strategy for the development of information society in Serbia by 2020: Information security and critical infrastructure</w:t>
      </w:r>
      <w:r w:rsidRPr="00046B6A">
        <w:rPr>
          <w:noProof/>
          <w:sz w:val="20"/>
        </w:rPr>
        <w:t xml:space="preserve">. </w:t>
      </w:r>
      <w:r w:rsidRPr="007D17CD">
        <w:rPr>
          <w:iCs/>
          <w:noProof/>
          <w:sz w:val="20"/>
        </w:rPr>
        <w:t>Vojnotehnicki Glasnik</w:t>
      </w:r>
      <w:r w:rsidRPr="00046B6A">
        <w:rPr>
          <w:noProof/>
          <w:sz w:val="20"/>
        </w:rPr>
        <w:t xml:space="preserve">, </w:t>
      </w:r>
      <w:r w:rsidRPr="007D17CD">
        <w:rPr>
          <w:iCs/>
          <w:noProof/>
          <w:sz w:val="20"/>
        </w:rPr>
        <w:t>60</w:t>
      </w:r>
      <w:r w:rsidRPr="007D17CD">
        <w:rPr>
          <w:noProof/>
          <w:sz w:val="20"/>
        </w:rPr>
        <w:t>(4)</w:t>
      </w:r>
      <w:r w:rsidRPr="00046B6A">
        <w:rPr>
          <w:noProof/>
          <w:sz w:val="20"/>
        </w:rPr>
        <w:t>, 82–101.</w:t>
      </w:r>
    </w:p>
    <w:p w:rsidR="007D17CD" w:rsidRDefault="00B73010" w:rsidP="007D17CD">
      <w:pPr>
        <w:widowControl w:val="0"/>
        <w:autoSpaceDE w:val="0"/>
        <w:autoSpaceDN w:val="0"/>
        <w:adjustRightInd w:val="0"/>
        <w:rPr>
          <w:noProof/>
          <w:sz w:val="20"/>
        </w:rPr>
      </w:pPr>
      <w:r>
        <w:rPr>
          <w:noProof/>
          <w:sz w:val="20"/>
        </w:rPr>
        <w:t>[</w:t>
      </w:r>
      <w:r w:rsidR="00BE3CD2">
        <w:rPr>
          <w:noProof/>
          <w:sz w:val="20"/>
        </w:rPr>
        <w:t>5</w:t>
      </w:r>
      <w:r>
        <w:rPr>
          <w:noProof/>
          <w:sz w:val="20"/>
        </w:rPr>
        <w:t xml:space="preserve">] </w:t>
      </w:r>
      <w:r w:rsidRPr="00B73010">
        <w:rPr>
          <w:noProof/>
          <w:sz w:val="20"/>
        </w:rPr>
        <w:t>http://www.gs.gov.rs/english/strategije-vs.html</w:t>
      </w:r>
    </w:p>
    <w:p w:rsidR="008779B1" w:rsidRDefault="008779B1" w:rsidP="007D17CD">
      <w:pPr>
        <w:widowControl w:val="0"/>
        <w:autoSpaceDE w:val="0"/>
        <w:autoSpaceDN w:val="0"/>
        <w:adjustRightInd w:val="0"/>
        <w:rPr>
          <w:noProof/>
          <w:sz w:val="20"/>
        </w:rPr>
      </w:pPr>
      <w:r>
        <w:rPr>
          <w:noProof/>
          <w:sz w:val="20"/>
        </w:rPr>
        <w:t>[</w:t>
      </w:r>
      <w:r w:rsidR="00BE3CD2">
        <w:rPr>
          <w:noProof/>
          <w:sz w:val="20"/>
        </w:rPr>
        <w:t>6</w:t>
      </w:r>
      <w:r>
        <w:rPr>
          <w:noProof/>
          <w:sz w:val="20"/>
        </w:rPr>
        <w:t xml:space="preserve">] AlGhamdi, R., Nguyen A., Jones, V. (2013). </w:t>
      </w:r>
      <w:r w:rsidRPr="008779B1">
        <w:rPr>
          <w:i/>
          <w:noProof/>
          <w:sz w:val="20"/>
        </w:rPr>
        <w:t>A Study of Influential Factors in the Adoption and Diffusion of B2C E-Commerce</w:t>
      </w:r>
      <w:r>
        <w:rPr>
          <w:noProof/>
          <w:sz w:val="20"/>
        </w:rPr>
        <w:t xml:space="preserve">, </w:t>
      </w:r>
      <w:r w:rsidRPr="008779B1">
        <w:rPr>
          <w:noProof/>
          <w:sz w:val="20"/>
        </w:rPr>
        <w:t>International Journal of Advanced Computer Science and Applications</w:t>
      </w:r>
      <w:r>
        <w:rPr>
          <w:noProof/>
          <w:sz w:val="20"/>
        </w:rPr>
        <w:t>, 4(1), 89-94</w:t>
      </w:r>
    </w:p>
    <w:p w:rsidR="008779B1" w:rsidRDefault="008779B1" w:rsidP="007D17CD">
      <w:pPr>
        <w:widowControl w:val="0"/>
        <w:autoSpaceDE w:val="0"/>
        <w:autoSpaceDN w:val="0"/>
        <w:adjustRightInd w:val="0"/>
        <w:rPr>
          <w:noProof/>
          <w:sz w:val="20"/>
        </w:rPr>
      </w:pPr>
      <w:r>
        <w:rPr>
          <w:noProof/>
          <w:sz w:val="20"/>
        </w:rPr>
        <w:t>[</w:t>
      </w:r>
      <w:r w:rsidR="00BE3CD2">
        <w:rPr>
          <w:noProof/>
          <w:sz w:val="20"/>
        </w:rPr>
        <w:t>7</w:t>
      </w:r>
      <w:r>
        <w:rPr>
          <w:noProof/>
          <w:sz w:val="20"/>
        </w:rPr>
        <w:t xml:space="preserve">] Falk, M, Hagsten E. (2015). </w:t>
      </w:r>
      <w:r w:rsidRPr="008779B1">
        <w:rPr>
          <w:i/>
          <w:noProof/>
          <w:sz w:val="20"/>
        </w:rPr>
        <w:t>E-commerce trends and impacts across Europe</w:t>
      </w:r>
      <w:r>
        <w:rPr>
          <w:noProof/>
          <w:sz w:val="20"/>
        </w:rPr>
        <w:t xml:space="preserve">, </w:t>
      </w:r>
      <w:r w:rsidRPr="008779B1">
        <w:rPr>
          <w:noProof/>
          <w:sz w:val="20"/>
        </w:rPr>
        <w:t>International Journal of Production Economics</w:t>
      </w:r>
      <w:r>
        <w:rPr>
          <w:noProof/>
          <w:sz w:val="20"/>
        </w:rPr>
        <w:t>, 170, 357-369</w:t>
      </w:r>
    </w:p>
    <w:p w:rsidR="00CF5B3F" w:rsidRPr="008779B1" w:rsidRDefault="00CF5B3F" w:rsidP="007D17CD">
      <w:pPr>
        <w:widowControl w:val="0"/>
        <w:autoSpaceDE w:val="0"/>
        <w:autoSpaceDN w:val="0"/>
        <w:adjustRightInd w:val="0"/>
        <w:rPr>
          <w:noProof/>
          <w:sz w:val="20"/>
        </w:rPr>
      </w:pPr>
      <w:r>
        <w:rPr>
          <w:noProof/>
          <w:sz w:val="20"/>
        </w:rPr>
        <w:t xml:space="preserve">[8] </w:t>
      </w:r>
      <w:r w:rsidRPr="00CF5B3F">
        <w:rPr>
          <w:noProof/>
          <w:sz w:val="20"/>
        </w:rPr>
        <w:t xml:space="preserve">Davis, F. D. (1989), </w:t>
      </w:r>
      <w:r w:rsidRPr="00CF5B3F">
        <w:rPr>
          <w:i/>
          <w:noProof/>
          <w:sz w:val="20"/>
        </w:rPr>
        <w:t>Perceived usefulness, perceived ease of use, and user acceptance of information technology</w:t>
      </w:r>
      <w:r w:rsidRPr="00CF5B3F">
        <w:rPr>
          <w:noProof/>
          <w:sz w:val="20"/>
        </w:rPr>
        <w:t>, MIS Quarterly, 13 (3): 319–340</w:t>
      </w:r>
    </w:p>
    <w:p w:rsidR="001B0E28" w:rsidRPr="00046B6A" w:rsidRDefault="00550601" w:rsidP="001B0E28">
      <w:pPr>
        <w:widowControl w:val="0"/>
        <w:autoSpaceDE w:val="0"/>
        <w:autoSpaceDN w:val="0"/>
        <w:adjustRightInd w:val="0"/>
        <w:ind w:left="480" w:hanging="480"/>
        <w:rPr>
          <w:noProof/>
          <w:sz w:val="20"/>
        </w:rPr>
      </w:pPr>
      <w:r>
        <w:rPr>
          <w:noProof/>
          <w:sz w:val="20"/>
        </w:rPr>
        <w:t>[</w:t>
      </w:r>
      <w:r w:rsidR="00255BD5">
        <w:rPr>
          <w:noProof/>
          <w:sz w:val="20"/>
        </w:rPr>
        <w:t>9</w:t>
      </w:r>
      <w:r>
        <w:rPr>
          <w:noProof/>
          <w:sz w:val="20"/>
        </w:rPr>
        <w:t xml:space="preserve">] </w:t>
      </w:r>
      <w:r w:rsidR="001B0E28" w:rsidRPr="00046B6A">
        <w:rPr>
          <w:noProof/>
          <w:sz w:val="20"/>
        </w:rPr>
        <w:t xml:space="preserve">RZSS. (2011). </w:t>
      </w:r>
      <w:r w:rsidR="001B0E28" w:rsidRPr="001B0E28">
        <w:rPr>
          <w:noProof/>
          <w:sz w:val="20"/>
        </w:rPr>
        <w:tab/>
      </w:r>
      <w:r w:rsidR="001B0E28" w:rsidRPr="00550601">
        <w:rPr>
          <w:i/>
          <w:noProof/>
          <w:sz w:val="20"/>
        </w:rPr>
        <w:t>Usage of information and communication technologies in the Republic of Serbia</w:t>
      </w:r>
      <w:r w:rsidR="001B0E28" w:rsidRPr="00046B6A">
        <w:rPr>
          <w:noProof/>
          <w:sz w:val="20"/>
        </w:rPr>
        <w:t xml:space="preserve">. </w:t>
      </w:r>
      <w:r w:rsidRPr="001B0E28">
        <w:rPr>
          <w:sz w:val="20"/>
          <w:szCs w:val="22"/>
        </w:rPr>
        <w:t>Statistical Office of the Republic of Serbia</w:t>
      </w:r>
      <w:r w:rsidR="001B0E28" w:rsidRPr="00046B6A">
        <w:rPr>
          <w:noProof/>
          <w:sz w:val="20"/>
        </w:rPr>
        <w:t>.</w:t>
      </w:r>
    </w:p>
    <w:p w:rsidR="00550601" w:rsidRPr="00046B6A" w:rsidRDefault="00550601" w:rsidP="00550601">
      <w:pPr>
        <w:widowControl w:val="0"/>
        <w:autoSpaceDE w:val="0"/>
        <w:autoSpaceDN w:val="0"/>
        <w:adjustRightInd w:val="0"/>
        <w:ind w:left="480" w:hanging="480"/>
        <w:rPr>
          <w:noProof/>
          <w:sz w:val="20"/>
        </w:rPr>
      </w:pPr>
      <w:r>
        <w:rPr>
          <w:noProof/>
          <w:sz w:val="20"/>
        </w:rPr>
        <w:t>[</w:t>
      </w:r>
      <w:r w:rsidR="00255BD5">
        <w:rPr>
          <w:noProof/>
          <w:sz w:val="20"/>
        </w:rPr>
        <w:t>10</w:t>
      </w:r>
      <w:r>
        <w:rPr>
          <w:noProof/>
          <w:sz w:val="20"/>
        </w:rPr>
        <w:t xml:space="preserve">] </w:t>
      </w:r>
      <w:r w:rsidRPr="00046B6A">
        <w:rPr>
          <w:noProof/>
          <w:sz w:val="20"/>
        </w:rPr>
        <w:t>RZSS. (201</w:t>
      </w:r>
      <w:r>
        <w:rPr>
          <w:noProof/>
          <w:sz w:val="20"/>
        </w:rPr>
        <w:t>2</w:t>
      </w:r>
      <w:r w:rsidRPr="00046B6A">
        <w:rPr>
          <w:noProof/>
          <w:sz w:val="20"/>
        </w:rPr>
        <w:t xml:space="preserve">). </w:t>
      </w:r>
      <w:r w:rsidRPr="001B0E28">
        <w:rPr>
          <w:noProof/>
          <w:sz w:val="20"/>
        </w:rPr>
        <w:tab/>
      </w:r>
      <w:r w:rsidRPr="00550601">
        <w:rPr>
          <w:i/>
          <w:noProof/>
          <w:sz w:val="20"/>
        </w:rPr>
        <w:t>Usage of information and communication technologies in the Republic of Serbia</w:t>
      </w:r>
      <w:r w:rsidRPr="00046B6A">
        <w:rPr>
          <w:noProof/>
          <w:sz w:val="20"/>
        </w:rPr>
        <w:t xml:space="preserve">. </w:t>
      </w:r>
      <w:r w:rsidRPr="001B0E28">
        <w:rPr>
          <w:sz w:val="20"/>
          <w:szCs w:val="22"/>
        </w:rPr>
        <w:t>Statistical Office of the Republic of Serbia</w:t>
      </w:r>
      <w:r w:rsidRPr="00046B6A">
        <w:rPr>
          <w:noProof/>
          <w:sz w:val="20"/>
        </w:rPr>
        <w:t>.</w:t>
      </w:r>
    </w:p>
    <w:p w:rsidR="00550601" w:rsidRPr="00046B6A" w:rsidRDefault="00550601" w:rsidP="00550601">
      <w:pPr>
        <w:widowControl w:val="0"/>
        <w:autoSpaceDE w:val="0"/>
        <w:autoSpaceDN w:val="0"/>
        <w:adjustRightInd w:val="0"/>
        <w:ind w:left="480" w:hanging="480"/>
        <w:rPr>
          <w:noProof/>
          <w:sz w:val="20"/>
        </w:rPr>
      </w:pPr>
      <w:r>
        <w:rPr>
          <w:noProof/>
          <w:sz w:val="20"/>
        </w:rPr>
        <w:t>[</w:t>
      </w:r>
      <w:r w:rsidR="00255BD5">
        <w:rPr>
          <w:noProof/>
          <w:sz w:val="20"/>
        </w:rPr>
        <w:t>11</w:t>
      </w:r>
      <w:r>
        <w:rPr>
          <w:noProof/>
          <w:sz w:val="20"/>
        </w:rPr>
        <w:t xml:space="preserve">] </w:t>
      </w:r>
      <w:r w:rsidRPr="00046B6A">
        <w:rPr>
          <w:noProof/>
          <w:sz w:val="20"/>
        </w:rPr>
        <w:t>RZSS. (201</w:t>
      </w:r>
      <w:r>
        <w:rPr>
          <w:noProof/>
          <w:sz w:val="20"/>
        </w:rPr>
        <w:t>3</w:t>
      </w:r>
      <w:r w:rsidRPr="00046B6A">
        <w:rPr>
          <w:noProof/>
          <w:sz w:val="20"/>
        </w:rPr>
        <w:t xml:space="preserve">). </w:t>
      </w:r>
      <w:r w:rsidRPr="001B0E28">
        <w:rPr>
          <w:noProof/>
          <w:sz w:val="20"/>
        </w:rPr>
        <w:tab/>
      </w:r>
      <w:r w:rsidRPr="00550601">
        <w:rPr>
          <w:i/>
          <w:noProof/>
          <w:sz w:val="20"/>
        </w:rPr>
        <w:t>Usage of information and communication technologies in the Republic of Serbia</w:t>
      </w:r>
      <w:r w:rsidRPr="00046B6A">
        <w:rPr>
          <w:noProof/>
          <w:sz w:val="20"/>
        </w:rPr>
        <w:t xml:space="preserve">. </w:t>
      </w:r>
      <w:r w:rsidRPr="001B0E28">
        <w:rPr>
          <w:sz w:val="20"/>
          <w:szCs w:val="22"/>
        </w:rPr>
        <w:t>Statistical Office of the Republic of Serbia</w:t>
      </w:r>
      <w:r w:rsidRPr="00046B6A">
        <w:rPr>
          <w:noProof/>
          <w:sz w:val="20"/>
        </w:rPr>
        <w:t>.</w:t>
      </w:r>
    </w:p>
    <w:p w:rsidR="00550601" w:rsidRPr="00046B6A" w:rsidRDefault="00550601" w:rsidP="00550601">
      <w:pPr>
        <w:widowControl w:val="0"/>
        <w:autoSpaceDE w:val="0"/>
        <w:autoSpaceDN w:val="0"/>
        <w:adjustRightInd w:val="0"/>
        <w:ind w:left="480" w:hanging="480"/>
        <w:rPr>
          <w:noProof/>
          <w:sz w:val="20"/>
        </w:rPr>
      </w:pPr>
      <w:r>
        <w:rPr>
          <w:noProof/>
          <w:sz w:val="20"/>
        </w:rPr>
        <w:t>[</w:t>
      </w:r>
      <w:r w:rsidR="00255BD5">
        <w:rPr>
          <w:noProof/>
          <w:sz w:val="20"/>
        </w:rPr>
        <w:t>12</w:t>
      </w:r>
      <w:r>
        <w:rPr>
          <w:noProof/>
          <w:sz w:val="20"/>
        </w:rPr>
        <w:t xml:space="preserve">] </w:t>
      </w:r>
      <w:r w:rsidRPr="00046B6A">
        <w:rPr>
          <w:noProof/>
          <w:sz w:val="20"/>
        </w:rPr>
        <w:t>RZSS. (201</w:t>
      </w:r>
      <w:r>
        <w:rPr>
          <w:noProof/>
          <w:sz w:val="20"/>
        </w:rPr>
        <w:t>4</w:t>
      </w:r>
      <w:r w:rsidRPr="00046B6A">
        <w:rPr>
          <w:noProof/>
          <w:sz w:val="20"/>
        </w:rPr>
        <w:t xml:space="preserve">). </w:t>
      </w:r>
      <w:r w:rsidRPr="001B0E28">
        <w:rPr>
          <w:noProof/>
          <w:sz w:val="20"/>
        </w:rPr>
        <w:tab/>
      </w:r>
      <w:r w:rsidRPr="00550601">
        <w:rPr>
          <w:i/>
          <w:noProof/>
          <w:sz w:val="20"/>
        </w:rPr>
        <w:t>Usage of information and communication technologies in the Republic of Serbia</w:t>
      </w:r>
      <w:r w:rsidRPr="00046B6A">
        <w:rPr>
          <w:noProof/>
          <w:sz w:val="20"/>
        </w:rPr>
        <w:t xml:space="preserve">. </w:t>
      </w:r>
      <w:r w:rsidRPr="001B0E28">
        <w:rPr>
          <w:sz w:val="20"/>
          <w:szCs w:val="22"/>
        </w:rPr>
        <w:t>Statistical Office of the Republic of Serbia</w:t>
      </w:r>
      <w:r w:rsidRPr="00046B6A">
        <w:rPr>
          <w:noProof/>
          <w:sz w:val="20"/>
        </w:rPr>
        <w:t>.</w:t>
      </w:r>
    </w:p>
    <w:p w:rsidR="00550601" w:rsidRPr="00046B6A" w:rsidRDefault="00550601" w:rsidP="00550601">
      <w:pPr>
        <w:widowControl w:val="0"/>
        <w:autoSpaceDE w:val="0"/>
        <w:autoSpaceDN w:val="0"/>
        <w:adjustRightInd w:val="0"/>
        <w:ind w:left="480" w:hanging="480"/>
        <w:rPr>
          <w:noProof/>
          <w:sz w:val="20"/>
        </w:rPr>
      </w:pPr>
      <w:r>
        <w:rPr>
          <w:noProof/>
          <w:sz w:val="20"/>
        </w:rPr>
        <w:t>[</w:t>
      </w:r>
      <w:r w:rsidR="00255BD5">
        <w:rPr>
          <w:noProof/>
          <w:sz w:val="20"/>
        </w:rPr>
        <w:t>13</w:t>
      </w:r>
      <w:r>
        <w:rPr>
          <w:noProof/>
          <w:sz w:val="20"/>
        </w:rPr>
        <w:t xml:space="preserve">] </w:t>
      </w:r>
      <w:r w:rsidRPr="00046B6A">
        <w:rPr>
          <w:noProof/>
          <w:sz w:val="20"/>
        </w:rPr>
        <w:t>RZSS. (201</w:t>
      </w:r>
      <w:r>
        <w:rPr>
          <w:noProof/>
          <w:sz w:val="20"/>
        </w:rPr>
        <w:t>5</w:t>
      </w:r>
      <w:r w:rsidRPr="00046B6A">
        <w:rPr>
          <w:noProof/>
          <w:sz w:val="20"/>
        </w:rPr>
        <w:t xml:space="preserve">). </w:t>
      </w:r>
      <w:r w:rsidRPr="001B0E28">
        <w:rPr>
          <w:noProof/>
          <w:sz w:val="20"/>
        </w:rPr>
        <w:tab/>
      </w:r>
      <w:r w:rsidRPr="00550601">
        <w:rPr>
          <w:i/>
          <w:noProof/>
          <w:sz w:val="20"/>
        </w:rPr>
        <w:t>Usage of information and communication technologies in the Republic of Serbia</w:t>
      </w:r>
      <w:r w:rsidRPr="00046B6A">
        <w:rPr>
          <w:noProof/>
          <w:sz w:val="20"/>
        </w:rPr>
        <w:t xml:space="preserve">. </w:t>
      </w:r>
      <w:r w:rsidRPr="001B0E28">
        <w:rPr>
          <w:sz w:val="20"/>
          <w:szCs w:val="22"/>
        </w:rPr>
        <w:t>Statistical Office of the Republic of Serbia</w:t>
      </w:r>
      <w:r w:rsidRPr="00046B6A">
        <w:rPr>
          <w:noProof/>
          <w:sz w:val="20"/>
        </w:rPr>
        <w:t>.</w:t>
      </w:r>
    </w:p>
    <w:p w:rsidR="00550601" w:rsidRPr="00046B6A" w:rsidRDefault="00550601" w:rsidP="00550601">
      <w:pPr>
        <w:widowControl w:val="0"/>
        <w:autoSpaceDE w:val="0"/>
        <w:autoSpaceDN w:val="0"/>
        <w:adjustRightInd w:val="0"/>
        <w:ind w:left="480" w:hanging="480"/>
        <w:rPr>
          <w:noProof/>
          <w:sz w:val="20"/>
        </w:rPr>
      </w:pPr>
      <w:r>
        <w:rPr>
          <w:noProof/>
          <w:sz w:val="20"/>
        </w:rPr>
        <w:t>[</w:t>
      </w:r>
      <w:r w:rsidR="00255BD5">
        <w:rPr>
          <w:noProof/>
          <w:sz w:val="20"/>
        </w:rPr>
        <w:t>14</w:t>
      </w:r>
      <w:r>
        <w:rPr>
          <w:noProof/>
          <w:sz w:val="20"/>
        </w:rPr>
        <w:t xml:space="preserve">] </w:t>
      </w:r>
      <w:r w:rsidRPr="00046B6A">
        <w:rPr>
          <w:noProof/>
          <w:sz w:val="20"/>
        </w:rPr>
        <w:t>RZSS. (201</w:t>
      </w:r>
      <w:r>
        <w:rPr>
          <w:noProof/>
          <w:sz w:val="20"/>
        </w:rPr>
        <w:t>6</w:t>
      </w:r>
      <w:r w:rsidRPr="00046B6A">
        <w:rPr>
          <w:noProof/>
          <w:sz w:val="20"/>
        </w:rPr>
        <w:t xml:space="preserve">). </w:t>
      </w:r>
      <w:r w:rsidRPr="001B0E28">
        <w:rPr>
          <w:noProof/>
          <w:sz w:val="20"/>
        </w:rPr>
        <w:tab/>
      </w:r>
      <w:r w:rsidRPr="00550601">
        <w:rPr>
          <w:i/>
          <w:noProof/>
          <w:sz w:val="20"/>
        </w:rPr>
        <w:t>Usage of information and communication technologies in the Republic of Serbia</w:t>
      </w:r>
      <w:r w:rsidRPr="00046B6A">
        <w:rPr>
          <w:noProof/>
          <w:sz w:val="20"/>
        </w:rPr>
        <w:t xml:space="preserve">. </w:t>
      </w:r>
      <w:r w:rsidRPr="001B0E28">
        <w:rPr>
          <w:sz w:val="20"/>
          <w:szCs w:val="22"/>
        </w:rPr>
        <w:t>Statistical Office of the Republic of Serbia</w:t>
      </w:r>
      <w:r w:rsidRPr="00046B6A">
        <w:rPr>
          <w:noProof/>
          <w:sz w:val="20"/>
        </w:rPr>
        <w:t>.</w:t>
      </w:r>
    </w:p>
    <w:p w:rsidR="00255BD5" w:rsidRPr="00046B6A" w:rsidRDefault="00255BD5" w:rsidP="00255BD5">
      <w:pPr>
        <w:widowControl w:val="0"/>
        <w:autoSpaceDE w:val="0"/>
        <w:autoSpaceDN w:val="0"/>
        <w:adjustRightInd w:val="0"/>
        <w:ind w:left="480" w:hanging="480"/>
        <w:rPr>
          <w:noProof/>
          <w:sz w:val="20"/>
        </w:rPr>
      </w:pPr>
      <w:r>
        <w:rPr>
          <w:sz w:val="20"/>
        </w:rPr>
        <w:t xml:space="preserve">[15] </w:t>
      </w:r>
      <w:r w:rsidRPr="00046B6A">
        <w:rPr>
          <w:noProof/>
          <w:sz w:val="20"/>
        </w:rPr>
        <w:t xml:space="preserve">Database @ Ec.Europa.Eu. (n.d.). </w:t>
      </w:r>
      <w:r w:rsidRPr="00046B6A">
        <w:rPr>
          <w:i/>
          <w:iCs/>
          <w:noProof/>
          <w:sz w:val="20"/>
        </w:rPr>
        <w:t xml:space="preserve">http://ec.europa.eu/eurostat/data/database, </w:t>
      </w:r>
      <w:r>
        <w:rPr>
          <w:iCs/>
          <w:noProof/>
          <w:sz w:val="20"/>
        </w:rPr>
        <w:t>accessed June 2017</w:t>
      </w:r>
      <w:r w:rsidRPr="00046B6A">
        <w:rPr>
          <w:i/>
          <w:iCs/>
          <w:noProof/>
          <w:sz w:val="20"/>
        </w:rPr>
        <w:t>.</w:t>
      </w:r>
    </w:p>
    <w:p w:rsidR="00725C5D" w:rsidRDefault="00725C5D" w:rsidP="00725C5D">
      <w:pPr>
        <w:jc w:val="both"/>
        <w:rPr>
          <w:sz w:val="20"/>
        </w:rPr>
      </w:pPr>
    </w:p>
    <w:p w:rsidR="00EE11F4" w:rsidRPr="007931F7" w:rsidRDefault="00EE11F4"/>
    <w:sectPr w:rsidR="00EE11F4" w:rsidRPr="007931F7" w:rsidSect="000E4BE7">
      <w:headerReference w:type="default" r:id="rId11"/>
      <w:footerReference w:type="default" r:id="rId12"/>
      <w:pgSz w:w="11907" w:h="16840" w:code="9"/>
      <w:pgMar w:top="1134" w:right="1134" w:bottom="1134" w:left="1134" w:header="709" w:footer="709"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BE" w:rsidRDefault="00AA76BE" w:rsidP="005655DA">
      <w:r>
        <w:separator/>
      </w:r>
    </w:p>
  </w:endnote>
  <w:endnote w:type="continuationSeparator" w:id="1">
    <w:p w:rsidR="00AA76BE" w:rsidRDefault="00AA76BE" w:rsidP="0056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374188" w:rsidTr="00374188">
      <w:trPr>
        <w:trHeight w:val="100"/>
      </w:trPr>
      <w:tc>
        <w:tcPr>
          <w:tcW w:w="9639" w:type="dxa"/>
          <w:tcBorders>
            <w:top w:val="thinThickSmallGap" w:sz="24" w:space="0" w:color="990000"/>
            <w:left w:val="nil"/>
            <w:bottom w:val="nil"/>
            <w:right w:val="nil"/>
          </w:tcBorders>
          <w:hideMark/>
        </w:tcPr>
        <w:p w:rsidR="00374188" w:rsidRDefault="00374188">
          <w:pPr>
            <w:pStyle w:val="Footer"/>
            <w:jc w:val="right"/>
          </w:pPr>
          <w:r>
            <w:t xml:space="preserve">2 - </w:t>
          </w:r>
          <w:sdt>
            <w:sdtPr>
              <w:id w:val="1574643"/>
              <w:docPartObj>
                <w:docPartGallery w:val="Page Numbers (Bottom of Page)"/>
                <w:docPartUnique/>
              </w:docPartObj>
            </w:sdtPr>
            <w:sdtContent>
              <w:fldSimple w:instr=" PAGE   \* MERGEFORMAT ">
                <w:r w:rsidR="00AA76BE">
                  <w:rPr>
                    <w:noProof/>
                  </w:rPr>
                  <w:t>39</w:t>
                </w:r>
              </w:fldSimple>
            </w:sdtContent>
          </w:sdt>
        </w:p>
      </w:tc>
    </w:tr>
  </w:tbl>
  <w:p w:rsidR="005655DA" w:rsidRDefault="005655DA" w:rsidP="00374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BE" w:rsidRDefault="00AA76BE" w:rsidP="005655DA">
      <w:r>
        <w:separator/>
      </w:r>
    </w:p>
  </w:footnote>
  <w:footnote w:type="continuationSeparator" w:id="1">
    <w:p w:rsidR="00AA76BE" w:rsidRDefault="00AA76BE" w:rsidP="00565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A" w:rsidRDefault="000F6378" w:rsidP="005655DA">
    <w:pPr>
      <w:pStyle w:val="Header"/>
    </w:pPr>
    <w:r w:rsidRPr="000F6378">
      <w:rPr>
        <w:lang w:val="en-GB"/>
      </w:rPr>
      <w:pict>
        <v:group id="_x0000_s3073" style="position:absolute;margin-left:1.85pt;margin-top:-32.15pt;width:478pt;height:54.3pt;z-index:251661312" coordorigin="1170,186" coordsize="9524,924">
          <v:shapetype id="_x0000_t32" coordsize="21600,21600" o:spt="32" o:oned="t" path="m,l21600,21600e" filled="f">
            <v:path arrowok="t" fillok="f" o:connecttype="none"/>
            <o:lock v:ext="edit" shapetype="t"/>
          </v:shapetype>
          <v:shape id="_x0000_s3074"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3075" type="#_x0000_t202" style="position:absolute;left:1179;top:186;width:129;height:316" stroked="f">
            <v:textbox style="mso-next-textbox:#_x0000_s3075" inset="0,0,0,0">
              <w:txbxContent>
                <w:p w:rsidR="005655DA" w:rsidRDefault="005655DA" w:rsidP="005655DA"/>
              </w:txbxContent>
            </v:textbox>
          </v:shape>
          <v:shape id="_x0000_s3076" type="#_x0000_t202" style="position:absolute;left:2416;top:363;width:7200;height:714" stroked="f">
            <v:textbox style="mso-next-textbox:#_x0000_s3076" inset="0,0,0,0">
              <w:txbxContent>
                <w:p w:rsidR="005655DA" w:rsidRDefault="005655DA" w:rsidP="005655DA">
                  <w:pPr>
                    <w:pStyle w:val="NoSpacing"/>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Scientific Conference</w:t>
                  </w:r>
                </w:p>
                <w:p w:rsidR="005655DA" w:rsidRDefault="005655DA" w:rsidP="005655DA">
                  <w:pPr>
                    <w:pStyle w:val="NoSpacing"/>
                    <w:jc w:val="center"/>
                    <w:rPr>
                      <w:rFonts w:ascii="Times New Roman" w:hAnsi="Times New Roman" w:cs="Times New Roman"/>
                      <w:sz w:val="20"/>
                      <w:szCs w:val="20"/>
                    </w:rPr>
                  </w:pPr>
                  <w:r>
                    <w:rPr>
                      <w:rFonts w:ascii="Times New Roman" w:hAnsi="Times New Roman" w:cs="Times New Roman"/>
                      <w:sz w:val="20"/>
                      <w:szCs w:val="20"/>
                    </w:rPr>
                    <w:t>“Science and Higher Education in Function of Sustainable Development”</w:t>
                  </w:r>
                </w:p>
                <w:p w:rsidR="005655DA" w:rsidRDefault="005655DA" w:rsidP="005655DA">
                  <w:pPr>
                    <w:pStyle w:val="NoSpacing"/>
                    <w:jc w:val="center"/>
                    <w:rPr>
                      <w:rFonts w:ascii="Times New Roman" w:hAnsi="Times New Roman" w:cs="Times New Roman"/>
                      <w:sz w:val="20"/>
                      <w:szCs w:val="20"/>
                    </w:rPr>
                  </w:pPr>
                  <w:r>
                    <w:rPr>
                      <w:rFonts w:ascii="Times New Roman" w:hAnsi="Times New Roman" w:cs="Times New Roman"/>
                      <w:sz w:val="20"/>
                      <w:szCs w:val="20"/>
                    </w:rPr>
                    <w:t>06 – 07 October 2017, Mećavnik – Drvengrad, Užice, Serbia</w:t>
                  </w:r>
                </w:p>
              </w:txbxContent>
            </v:textbox>
          </v:shape>
        </v:group>
      </w:pict>
    </w:r>
    <w:r w:rsidR="005655DA">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5655DA" w:rsidRDefault="005655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8D62C88"/>
    <w:multiLevelType w:val="hybridMultilevel"/>
    <w:tmpl w:val="3D06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12290"/>
    <o:shapelayout v:ext="edit">
      <o:idmap v:ext="edit" data="3"/>
      <o:rules v:ext="edit">
        <o:r id="V:Rule2" type="connector" idref="#_x0000_s3074"/>
      </o:rules>
    </o:shapelayout>
  </w:hdrShapeDefaults>
  <w:footnotePr>
    <w:footnote w:id="0"/>
    <w:footnote w:id="1"/>
  </w:footnotePr>
  <w:endnotePr>
    <w:endnote w:id="0"/>
    <w:endnote w:id="1"/>
  </w:endnotePr>
  <w:compat/>
  <w:rsids>
    <w:rsidRoot w:val="00725C5D"/>
    <w:rsid w:val="00013824"/>
    <w:rsid w:val="0001643A"/>
    <w:rsid w:val="000333F4"/>
    <w:rsid w:val="0005076C"/>
    <w:rsid w:val="00060226"/>
    <w:rsid w:val="00072E62"/>
    <w:rsid w:val="00096472"/>
    <w:rsid w:val="000B72B6"/>
    <w:rsid w:val="000C5211"/>
    <w:rsid w:val="000E4BE7"/>
    <w:rsid w:val="000F0C1C"/>
    <w:rsid w:val="000F6378"/>
    <w:rsid w:val="00101134"/>
    <w:rsid w:val="0010340F"/>
    <w:rsid w:val="00125C59"/>
    <w:rsid w:val="001554E9"/>
    <w:rsid w:val="00173F78"/>
    <w:rsid w:val="00174560"/>
    <w:rsid w:val="001A003E"/>
    <w:rsid w:val="001B0E28"/>
    <w:rsid w:val="001B18E1"/>
    <w:rsid w:val="001B4373"/>
    <w:rsid w:val="001E2B10"/>
    <w:rsid w:val="001E577F"/>
    <w:rsid w:val="00254099"/>
    <w:rsid w:val="00255A46"/>
    <w:rsid w:val="00255BD5"/>
    <w:rsid w:val="00261FE5"/>
    <w:rsid w:val="002675A8"/>
    <w:rsid w:val="00273452"/>
    <w:rsid w:val="00297EAA"/>
    <w:rsid w:val="002A3989"/>
    <w:rsid w:val="002D64A1"/>
    <w:rsid w:val="002E4140"/>
    <w:rsid w:val="002F1D47"/>
    <w:rsid w:val="0031275F"/>
    <w:rsid w:val="00316241"/>
    <w:rsid w:val="003239C7"/>
    <w:rsid w:val="0033285C"/>
    <w:rsid w:val="00332E2B"/>
    <w:rsid w:val="003656DB"/>
    <w:rsid w:val="00374188"/>
    <w:rsid w:val="00387F5A"/>
    <w:rsid w:val="003B0AA8"/>
    <w:rsid w:val="003C50D4"/>
    <w:rsid w:val="00462EF8"/>
    <w:rsid w:val="004A7458"/>
    <w:rsid w:val="004B7363"/>
    <w:rsid w:val="004E690F"/>
    <w:rsid w:val="004F66AB"/>
    <w:rsid w:val="00506838"/>
    <w:rsid w:val="00515E91"/>
    <w:rsid w:val="00550023"/>
    <w:rsid w:val="00550601"/>
    <w:rsid w:val="005655DA"/>
    <w:rsid w:val="00577179"/>
    <w:rsid w:val="005C24C9"/>
    <w:rsid w:val="005C4943"/>
    <w:rsid w:val="005E6F5F"/>
    <w:rsid w:val="00642673"/>
    <w:rsid w:val="00644AA6"/>
    <w:rsid w:val="006614C2"/>
    <w:rsid w:val="00670AB4"/>
    <w:rsid w:val="006C2B03"/>
    <w:rsid w:val="006C76FF"/>
    <w:rsid w:val="006E2603"/>
    <w:rsid w:val="00711741"/>
    <w:rsid w:val="00725C5D"/>
    <w:rsid w:val="0073263B"/>
    <w:rsid w:val="0074099F"/>
    <w:rsid w:val="0075300E"/>
    <w:rsid w:val="00754064"/>
    <w:rsid w:val="007872FC"/>
    <w:rsid w:val="007931F7"/>
    <w:rsid w:val="007B10D7"/>
    <w:rsid w:val="007B19D6"/>
    <w:rsid w:val="007C5067"/>
    <w:rsid w:val="007D17CD"/>
    <w:rsid w:val="007E5D4B"/>
    <w:rsid w:val="007E7CEA"/>
    <w:rsid w:val="00826100"/>
    <w:rsid w:val="00845B70"/>
    <w:rsid w:val="00847A6B"/>
    <w:rsid w:val="008707F4"/>
    <w:rsid w:val="00875865"/>
    <w:rsid w:val="008779B1"/>
    <w:rsid w:val="008B4EB1"/>
    <w:rsid w:val="008B67C2"/>
    <w:rsid w:val="008C531C"/>
    <w:rsid w:val="008D34B4"/>
    <w:rsid w:val="008F5D47"/>
    <w:rsid w:val="009164E6"/>
    <w:rsid w:val="00923E88"/>
    <w:rsid w:val="009252FC"/>
    <w:rsid w:val="0092553E"/>
    <w:rsid w:val="00933ED1"/>
    <w:rsid w:val="009506D5"/>
    <w:rsid w:val="00990A89"/>
    <w:rsid w:val="009C020B"/>
    <w:rsid w:val="009D3C43"/>
    <w:rsid w:val="00A0159F"/>
    <w:rsid w:val="00A02C2F"/>
    <w:rsid w:val="00A109E2"/>
    <w:rsid w:val="00A143C8"/>
    <w:rsid w:val="00A22514"/>
    <w:rsid w:val="00A339AE"/>
    <w:rsid w:val="00A37F71"/>
    <w:rsid w:val="00A505EA"/>
    <w:rsid w:val="00A703AB"/>
    <w:rsid w:val="00A83899"/>
    <w:rsid w:val="00A967E8"/>
    <w:rsid w:val="00AA6654"/>
    <w:rsid w:val="00AA68E0"/>
    <w:rsid w:val="00AA6A0B"/>
    <w:rsid w:val="00AA76BE"/>
    <w:rsid w:val="00AB5FD7"/>
    <w:rsid w:val="00AB69E3"/>
    <w:rsid w:val="00AB6BFF"/>
    <w:rsid w:val="00AC0B5D"/>
    <w:rsid w:val="00AD52DA"/>
    <w:rsid w:val="00AE40C0"/>
    <w:rsid w:val="00AF3A34"/>
    <w:rsid w:val="00B03DDE"/>
    <w:rsid w:val="00B30531"/>
    <w:rsid w:val="00B337FA"/>
    <w:rsid w:val="00B36683"/>
    <w:rsid w:val="00B60CB1"/>
    <w:rsid w:val="00B6347C"/>
    <w:rsid w:val="00B64A50"/>
    <w:rsid w:val="00B700B0"/>
    <w:rsid w:val="00B71C31"/>
    <w:rsid w:val="00B73010"/>
    <w:rsid w:val="00B75751"/>
    <w:rsid w:val="00BB3820"/>
    <w:rsid w:val="00BB38C3"/>
    <w:rsid w:val="00BB6BB2"/>
    <w:rsid w:val="00BE3CD2"/>
    <w:rsid w:val="00C36B92"/>
    <w:rsid w:val="00C4372E"/>
    <w:rsid w:val="00C47333"/>
    <w:rsid w:val="00C474AC"/>
    <w:rsid w:val="00C620D7"/>
    <w:rsid w:val="00C66D39"/>
    <w:rsid w:val="00C90B72"/>
    <w:rsid w:val="00CC6C9B"/>
    <w:rsid w:val="00CD41EB"/>
    <w:rsid w:val="00CF5B3F"/>
    <w:rsid w:val="00D1145A"/>
    <w:rsid w:val="00D16BBD"/>
    <w:rsid w:val="00D3297C"/>
    <w:rsid w:val="00D34C64"/>
    <w:rsid w:val="00D4011A"/>
    <w:rsid w:val="00D4239D"/>
    <w:rsid w:val="00D4383A"/>
    <w:rsid w:val="00D463EC"/>
    <w:rsid w:val="00D53681"/>
    <w:rsid w:val="00D64D3F"/>
    <w:rsid w:val="00D83235"/>
    <w:rsid w:val="00DA1B85"/>
    <w:rsid w:val="00DE7C5A"/>
    <w:rsid w:val="00E26C43"/>
    <w:rsid w:val="00E31DBE"/>
    <w:rsid w:val="00E35198"/>
    <w:rsid w:val="00E530D2"/>
    <w:rsid w:val="00E73B7A"/>
    <w:rsid w:val="00E817B0"/>
    <w:rsid w:val="00EA1972"/>
    <w:rsid w:val="00EB5D8A"/>
    <w:rsid w:val="00EC2A43"/>
    <w:rsid w:val="00EC7A3D"/>
    <w:rsid w:val="00ED6136"/>
    <w:rsid w:val="00EE11F4"/>
    <w:rsid w:val="00EF4FA1"/>
    <w:rsid w:val="00F218D9"/>
    <w:rsid w:val="00F255E2"/>
    <w:rsid w:val="00F5720B"/>
    <w:rsid w:val="00F6253A"/>
    <w:rsid w:val="00F63276"/>
    <w:rsid w:val="00F93FFF"/>
    <w:rsid w:val="00FC5499"/>
    <w:rsid w:val="00FC6B6E"/>
    <w:rsid w:val="00FF3219"/>
    <w:rsid w:val="00FF4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2FC"/>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Header">
    <w:name w:val="header"/>
    <w:basedOn w:val="Normal"/>
    <w:link w:val="HeaderChar"/>
    <w:uiPriority w:val="99"/>
    <w:rsid w:val="005655DA"/>
    <w:pPr>
      <w:tabs>
        <w:tab w:val="center" w:pos="4680"/>
        <w:tab w:val="right" w:pos="9360"/>
      </w:tabs>
    </w:pPr>
  </w:style>
  <w:style w:type="character" w:customStyle="1" w:styleId="HeaderChar">
    <w:name w:val="Header Char"/>
    <w:basedOn w:val="DefaultParagraphFont"/>
    <w:link w:val="Header"/>
    <w:uiPriority w:val="99"/>
    <w:rsid w:val="005655DA"/>
    <w:rPr>
      <w:sz w:val="24"/>
      <w:szCs w:val="24"/>
    </w:rPr>
  </w:style>
  <w:style w:type="paragraph" w:styleId="Footer">
    <w:name w:val="footer"/>
    <w:basedOn w:val="Normal"/>
    <w:link w:val="FooterChar"/>
    <w:uiPriority w:val="99"/>
    <w:rsid w:val="005655DA"/>
    <w:pPr>
      <w:tabs>
        <w:tab w:val="center" w:pos="4680"/>
        <w:tab w:val="right" w:pos="9360"/>
      </w:tabs>
    </w:pPr>
  </w:style>
  <w:style w:type="character" w:customStyle="1" w:styleId="FooterChar">
    <w:name w:val="Footer Char"/>
    <w:basedOn w:val="DefaultParagraphFont"/>
    <w:link w:val="Footer"/>
    <w:uiPriority w:val="99"/>
    <w:rsid w:val="005655DA"/>
    <w:rPr>
      <w:sz w:val="24"/>
      <w:szCs w:val="24"/>
    </w:rPr>
  </w:style>
  <w:style w:type="paragraph" w:styleId="NoSpacing">
    <w:name w:val="No Spacing"/>
    <w:uiPriority w:val="1"/>
    <w:qFormat/>
    <w:rsid w:val="005655DA"/>
    <w:rPr>
      <w:rFonts w:asciiTheme="minorHAnsi" w:eastAsiaTheme="minorHAnsi" w:hAnsiTheme="minorHAnsi" w:cstheme="minorBidi"/>
      <w:sz w:val="22"/>
      <w:szCs w:val="22"/>
    </w:rPr>
  </w:style>
  <w:style w:type="paragraph" w:styleId="BalloonText">
    <w:name w:val="Balloon Text"/>
    <w:basedOn w:val="Normal"/>
    <w:link w:val="BalloonTextChar"/>
    <w:rsid w:val="0005076C"/>
    <w:rPr>
      <w:rFonts w:ascii="Tahoma" w:hAnsi="Tahoma" w:cs="Tahoma"/>
      <w:sz w:val="16"/>
      <w:szCs w:val="16"/>
    </w:rPr>
  </w:style>
  <w:style w:type="character" w:customStyle="1" w:styleId="BalloonTextChar">
    <w:name w:val="Balloon Text Char"/>
    <w:basedOn w:val="DefaultParagraphFont"/>
    <w:link w:val="BalloonText"/>
    <w:rsid w:val="00050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587507">
      <w:bodyDiv w:val="1"/>
      <w:marLeft w:val="0"/>
      <w:marRight w:val="0"/>
      <w:marTop w:val="0"/>
      <w:marBottom w:val="0"/>
      <w:divBdr>
        <w:top w:val="none" w:sz="0" w:space="0" w:color="auto"/>
        <w:left w:val="none" w:sz="0" w:space="0" w:color="auto"/>
        <w:bottom w:val="none" w:sz="0" w:space="0" w:color="auto"/>
        <w:right w:val="none" w:sz="0" w:space="0" w:color="auto"/>
      </w:divBdr>
    </w:div>
    <w:div w:id="575700639">
      <w:bodyDiv w:val="1"/>
      <w:marLeft w:val="0"/>
      <w:marRight w:val="0"/>
      <w:marTop w:val="0"/>
      <w:marBottom w:val="0"/>
      <w:divBdr>
        <w:top w:val="none" w:sz="0" w:space="0" w:color="auto"/>
        <w:left w:val="none" w:sz="0" w:space="0" w:color="auto"/>
        <w:bottom w:val="none" w:sz="0" w:space="0" w:color="auto"/>
        <w:right w:val="none" w:sz="0" w:space="0" w:color="auto"/>
      </w:divBdr>
    </w:div>
    <w:div w:id="827550491">
      <w:bodyDiv w:val="1"/>
      <w:marLeft w:val="0"/>
      <w:marRight w:val="0"/>
      <w:marTop w:val="0"/>
      <w:marBottom w:val="0"/>
      <w:divBdr>
        <w:top w:val="none" w:sz="0" w:space="0" w:color="auto"/>
        <w:left w:val="none" w:sz="0" w:space="0" w:color="auto"/>
        <w:bottom w:val="none" w:sz="0" w:space="0" w:color="auto"/>
        <w:right w:val="none" w:sz="0" w:space="0" w:color="auto"/>
      </w:divBdr>
    </w:div>
    <w:div w:id="854464374">
      <w:bodyDiv w:val="1"/>
      <w:marLeft w:val="0"/>
      <w:marRight w:val="0"/>
      <w:marTop w:val="0"/>
      <w:marBottom w:val="0"/>
      <w:divBdr>
        <w:top w:val="none" w:sz="0" w:space="0" w:color="auto"/>
        <w:left w:val="none" w:sz="0" w:space="0" w:color="auto"/>
        <w:bottom w:val="none" w:sz="0" w:space="0" w:color="auto"/>
        <w:right w:val="none" w:sz="0" w:space="0" w:color="auto"/>
      </w:divBdr>
    </w:div>
    <w:div w:id="1052656812">
      <w:bodyDiv w:val="1"/>
      <w:marLeft w:val="0"/>
      <w:marRight w:val="0"/>
      <w:marTop w:val="0"/>
      <w:marBottom w:val="0"/>
      <w:divBdr>
        <w:top w:val="none" w:sz="0" w:space="0" w:color="auto"/>
        <w:left w:val="none" w:sz="0" w:space="0" w:color="auto"/>
        <w:bottom w:val="none" w:sz="0" w:space="0" w:color="auto"/>
        <w:right w:val="none" w:sz="0" w:space="0" w:color="auto"/>
      </w:divBdr>
    </w:div>
    <w:div w:id="1094322130">
      <w:bodyDiv w:val="1"/>
      <w:marLeft w:val="0"/>
      <w:marRight w:val="0"/>
      <w:marTop w:val="0"/>
      <w:marBottom w:val="0"/>
      <w:divBdr>
        <w:top w:val="none" w:sz="0" w:space="0" w:color="auto"/>
        <w:left w:val="none" w:sz="0" w:space="0" w:color="auto"/>
        <w:bottom w:val="none" w:sz="0" w:space="0" w:color="auto"/>
        <w:right w:val="none" w:sz="0" w:space="0" w:color="auto"/>
      </w:divBdr>
    </w:div>
    <w:div w:id="1246384127">
      <w:bodyDiv w:val="1"/>
      <w:marLeft w:val="0"/>
      <w:marRight w:val="0"/>
      <w:marTop w:val="0"/>
      <w:marBottom w:val="0"/>
      <w:divBdr>
        <w:top w:val="none" w:sz="0" w:space="0" w:color="auto"/>
        <w:left w:val="none" w:sz="0" w:space="0" w:color="auto"/>
        <w:bottom w:val="none" w:sz="0" w:space="0" w:color="auto"/>
        <w:right w:val="none" w:sz="0" w:space="0" w:color="auto"/>
      </w:divBdr>
    </w:div>
    <w:div w:id="1365640037">
      <w:bodyDiv w:val="1"/>
      <w:marLeft w:val="0"/>
      <w:marRight w:val="0"/>
      <w:marTop w:val="0"/>
      <w:marBottom w:val="0"/>
      <w:divBdr>
        <w:top w:val="none" w:sz="0" w:space="0" w:color="auto"/>
        <w:left w:val="none" w:sz="0" w:space="0" w:color="auto"/>
        <w:bottom w:val="none" w:sz="0" w:space="0" w:color="auto"/>
        <w:right w:val="none" w:sz="0" w:space="0" w:color="auto"/>
      </w:divBdr>
    </w:div>
    <w:div w:id="1373773107">
      <w:bodyDiv w:val="1"/>
      <w:marLeft w:val="0"/>
      <w:marRight w:val="0"/>
      <w:marTop w:val="0"/>
      <w:marBottom w:val="0"/>
      <w:divBdr>
        <w:top w:val="none" w:sz="0" w:space="0" w:color="auto"/>
        <w:left w:val="none" w:sz="0" w:space="0" w:color="auto"/>
        <w:bottom w:val="none" w:sz="0" w:space="0" w:color="auto"/>
        <w:right w:val="none" w:sz="0" w:space="0" w:color="auto"/>
      </w:divBdr>
    </w:div>
    <w:div w:id="1417089097">
      <w:bodyDiv w:val="1"/>
      <w:marLeft w:val="0"/>
      <w:marRight w:val="0"/>
      <w:marTop w:val="0"/>
      <w:marBottom w:val="0"/>
      <w:divBdr>
        <w:top w:val="none" w:sz="0" w:space="0" w:color="auto"/>
        <w:left w:val="none" w:sz="0" w:space="0" w:color="auto"/>
        <w:bottom w:val="none" w:sz="0" w:space="0" w:color="auto"/>
        <w:right w:val="none" w:sz="0" w:space="0" w:color="auto"/>
      </w:divBdr>
    </w:div>
    <w:div w:id="1716657751">
      <w:bodyDiv w:val="1"/>
      <w:marLeft w:val="0"/>
      <w:marRight w:val="0"/>
      <w:marTop w:val="0"/>
      <w:marBottom w:val="0"/>
      <w:divBdr>
        <w:top w:val="none" w:sz="0" w:space="0" w:color="auto"/>
        <w:left w:val="none" w:sz="0" w:space="0" w:color="auto"/>
        <w:bottom w:val="none" w:sz="0" w:space="0" w:color="auto"/>
        <w:right w:val="none" w:sz="0" w:space="0" w:color="auto"/>
      </w:divBdr>
    </w:div>
    <w:div w:id="21128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D:\Radovi\SED2017\Statistika%202011-201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Radovi\SED2017\Statistika%202011-2016.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strRef>
          <c:f>Zajednicka!$B$1</c:f>
          <c:strCache>
            <c:ptCount val="1"/>
            <c:pt idx="0">
              <c:v>Households having access to a computer</c:v>
            </c:pt>
          </c:strCache>
        </c:strRef>
      </c:tx>
      <c:txPr>
        <a:bodyPr/>
        <a:lstStyle/>
        <a:p>
          <a:pPr>
            <a:defRPr sz="1000"/>
          </a:pPr>
          <a:endParaRPr lang="en-US"/>
        </a:p>
      </c:txPr>
    </c:title>
    <c:plotArea>
      <c:layout>
        <c:manualLayout>
          <c:layoutTarget val="inner"/>
          <c:xMode val="edge"/>
          <c:yMode val="edge"/>
          <c:x val="7.2505872936095783E-2"/>
          <c:y val="0.12610837438423642"/>
          <c:w val="0.7156924107890783"/>
          <c:h val="0.79666653737248361"/>
        </c:manualLayout>
      </c:layout>
      <c:lineChart>
        <c:grouping val="standard"/>
        <c:ser>
          <c:idx val="1"/>
          <c:order val="0"/>
          <c:tx>
            <c:strRef>
              <c:f>Zajednicka!$A$3</c:f>
              <c:strCache>
                <c:ptCount val="1"/>
                <c:pt idx="0">
                  <c:v>EU(28)</c:v>
                </c:pt>
              </c:strCache>
            </c:strRef>
          </c:tx>
          <c:spPr>
            <a:ln>
              <a:solidFill>
                <a:schemeClr val="tx1"/>
              </a:solidFill>
              <a:prstDash val="sysDot"/>
            </a:ln>
          </c:spPr>
          <c:marker>
            <c:symbol val="none"/>
          </c:marker>
          <c:dLbls>
            <c:delete val="1"/>
          </c:dLbls>
          <c:cat>
            <c:numRef>
              <c:f>Zajednicka!$B$2:$G$2</c:f>
              <c:numCache>
                <c:formatCode>General</c:formatCode>
                <c:ptCount val="6"/>
                <c:pt idx="0">
                  <c:v>2011</c:v>
                </c:pt>
                <c:pt idx="1">
                  <c:v>2012</c:v>
                </c:pt>
                <c:pt idx="2">
                  <c:v>2013</c:v>
                </c:pt>
                <c:pt idx="3">
                  <c:v>2014</c:v>
                </c:pt>
                <c:pt idx="4">
                  <c:v>2015</c:v>
                </c:pt>
                <c:pt idx="5">
                  <c:v>2016</c:v>
                </c:pt>
              </c:numCache>
            </c:numRef>
          </c:cat>
          <c:val>
            <c:numRef>
              <c:f>Zajednicka!$B$3:$G$3</c:f>
              <c:numCache>
                <c:formatCode>0.00%</c:formatCode>
                <c:ptCount val="6"/>
                <c:pt idx="0">
                  <c:v>0.7600000000000009</c:v>
                </c:pt>
                <c:pt idx="1">
                  <c:v>0.78</c:v>
                </c:pt>
                <c:pt idx="2">
                  <c:v>0.8</c:v>
                </c:pt>
                <c:pt idx="3">
                  <c:v>0.81</c:v>
                </c:pt>
                <c:pt idx="4">
                  <c:v>0.82000000000000062</c:v>
                </c:pt>
                <c:pt idx="5">
                  <c:v>0.83000000000000063</c:v>
                </c:pt>
              </c:numCache>
            </c:numRef>
          </c:val>
        </c:ser>
        <c:ser>
          <c:idx val="0"/>
          <c:order val="1"/>
          <c:tx>
            <c:strRef>
              <c:f>Zajednicka!$A$4</c:f>
              <c:strCache>
                <c:ptCount val="1"/>
                <c:pt idx="0">
                  <c:v>Serbia</c:v>
                </c:pt>
              </c:strCache>
            </c:strRef>
          </c:tx>
          <c:spPr>
            <a:ln>
              <a:solidFill>
                <a:schemeClr val="tx1"/>
              </a:solidFill>
              <a:prstDash val="dash"/>
            </a:ln>
          </c:spPr>
          <c:marker>
            <c:symbol val="none"/>
          </c:marker>
          <c:dLbls>
            <c:delete val="1"/>
          </c:dLbls>
          <c:cat>
            <c:numRef>
              <c:f>Zajednicka!$B$2:$G$2</c:f>
              <c:numCache>
                <c:formatCode>General</c:formatCode>
                <c:ptCount val="6"/>
                <c:pt idx="0">
                  <c:v>2011</c:v>
                </c:pt>
                <c:pt idx="1">
                  <c:v>2012</c:v>
                </c:pt>
                <c:pt idx="2">
                  <c:v>2013</c:v>
                </c:pt>
                <c:pt idx="3">
                  <c:v>2014</c:v>
                </c:pt>
                <c:pt idx="4">
                  <c:v>2015</c:v>
                </c:pt>
                <c:pt idx="5">
                  <c:v>2016</c:v>
                </c:pt>
              </c:numCache>
            </c:numRef>
          </c:cat>
          <c:val>
            <c:numRef>
              <c:f>Zajednicka!$B$4:$G$4</c:f>
              <c:numCache>
                <c:formatCode>0.00%</c:formatCode>
                <c:ptCount val="6"/>
                <c:pt idx="0">
                  <c:v>0.52100000000000002</c:v>
                </c:pt>
                <c:pt idx="1">
                  <c:v>0.55200000000000005</c:v>
                </c:pt>
                <c:pt idx="2">
                  <c:v>0.59899999999999998</c:v>
                </c:pt>
                <c:pt idx="3">
                  <c:v>0.63200000000000089</c:v>
                </c:pt>
                <c:pt idx="4">
                  <c:v>0.64400000000000091</c:v>
                </c:pt>
                <c:pt idx="5">
                  <c:v>0.65800000000000103</c:v>
                </c:pt>
              </c:numCache>
            </c:numRef>
          </c:val>
        </c:ser>
        <c:ser>
          <c:idx val="2"/>
          <c:order val="2"/>
          <c:tx>
            <c:strRef>
              <c:f>Zajednicka!$A$5</c:f>
              <c:strCache>
                <c:ptCount val="1"/>
                <c:pt idx="0">
                  <c:v>NSSB</c:v>
                </c:pt>
              </c:strCache>
            </c:strRef>
          </c:tx>
          <c:spPr>
            <a:ln>
              <a:solidFill>
                <a:schemeClr val="tx1"/>
              </a:solidFill>
            </a:ln>
          </c:spPr>
          <c:marker>
            <c:symbol val="none"/>
          </c:marker>
          <c:dLbls>
            <c:delete val="1"/>
          </c:dLbls>
          <c:cat>
            <c:numRef>
              <c:f>Zajednicka!$B$2:$G$2</c:f>
              <c:numCache>
                <c:formatCode>General</c:formatCode>
                <c:ptCount val="6"/>
                <c:pt idx="0">
                  <c:v>2011</c:v>
                </c:pt>
                <c:pt idx="1">
                  <c:v>2012</c:v>
                </c:pt>
                <c:pt idx="2">
                  <c:v>2013</c:v>
                </c:pt>
                <c:pt idx="3">
                  <c:v>2014</c:v>
                </c:pt>
                <c:pt idx="4">
                  <c:v>2015</c:v>
                </c:pt>
                <c:pt idx="5">
                  <c:v>2016</c:v>
                </c:pt>
              </c:numCache>
            </c:numRef>
          </c:cat>
          <c:val>
            <c:numRef>
              <c:f>Zajednicka!$B$5:$G$5</c:f>
              <c:numCache>
                <c:formatCode>0.00%</c:formatCode>
                <c:ptCount val="6"/>
                <c:pt idx="0">
                  <c:v>0.96000000000000063</c:v>
                </c:pt>
                <c:pt idx="1">
                  <c:v>0.99559471365638763</c:v>
                </c:pt>
                <c:pt idx="2">
                  <c:v>0.99259259259259269</c:v>
                </c:pt>
                <c:pt idx="3">
                  <c:v>0.98918918918918919</c:v>
                </c:pt>
                <c:pt idx="4">
                  <c:v>0.99521531100478466</c:v>
                </c:pt>
                <c:pt idx="5">
                  <c:v>0.97959183673469497</c:v>
                </c:pt>
              </c:numCache>
            </c:numRef>
          </c:val>
        </c:ser>
        <c:dLbls>
          <c:showVal val="1"/>
        </c:dLbls>
        <c:marker val="1"/>
        <c:axId val="63091072"/>
        <c:axId val="63092608"/>
      </c:lineChart>
      <c:catAx>
        <c:axId val="63091072"/>
        <c:scaling>
          <c:orientation val="minMax"/>
        </c:scaling>
        <c:axPos val="b"/>
        <c:numFmt formatCode="General" sourceLinked="1"/>
        <c:tickLblPos val="nextTo"/>
        <c:txPr>
          <a:bodyPr/>
          <a:lstStyle/>
          <a:p>
            <a:pPr>
              <a:defRPr sz="1000"/>
            </a:pPr>
            <a:endParaRPr lang="en-US"/>
          </a:p>
        </c:txPr>
        <c:crossAx val="63092608"/>
        <c:crosses val="autoZero"/>
        <c:auto val="1"/>
        <c:lblAlgn val="ctr"/>
        <c:lblOffset val="100"/>
      </c:catAx>
      <c:valAx>
        <c:axId val="63092608"/>
        <c:scaling>
          <c:orientation val="minMax"/>
          <c:max val="1.1000000000000001"/>
          <c:min val="0.4"/>
        </c:scaling>
        <c:axPos val="l"/>
        <c:majorGridlines/>
        <c:numFmt formatCode="0%" sourceLinked="0"/>
        <c:tickLblPos val="nextTo"/>
        <c:txPr>
          <a:bodyPr/>
          <a:lstStyle/>
          <a:p>
            <a:pPr>
              <a:defRPr sz="1000"/>
            </a:pPr>
            <a:endParaRPr lang="en-US"/>
          </a:p>
        </c:txPr>
        <c:crossAx val="63091072"/>
        <c:crosses val="autoZero"/>
        <c:crossBetween val="between"/>
      </c:valAx>
    </c:plotArea>
    <c:legend>
      <c:legendPos val="r"/>
      <c:layout>
        <c:manualLayout>
          <c:xMode val="edge"/>
          <c:yMode val="edge"/>
          <c:x val="0.82791459578190929"/>
          <c:y val="0.45874170901051164"/>
          <c:w val="0.17208545134389849"/>
          <c:h val="0.33597369294355506"/>
        </c:manualLayout>
      </c:layout>
      <c:txPr>
        <a:bodyPr/>
        <a:lstStyle/>
        <a:p>
          <a:pPr>
            <a:defRPr sz="1000"/>
          </a:pPr>
          <a:endParaRPr lang="en-US"/>
        </a:p>
      </c:txPr>
    </c:legend>
    <c:plotVisOnly val="1"/>
    <c:dispBlanksAs val="gap"/>
  </c:chart>
  <c:txPr>
    <a:bodyPr/>
    <a:lstStyle/>
    <a:p>
      <a:pPr>
        <a:defRPr>
          <a:latin typeface="Times New Roman" pitchFamily="18" charset="0"/>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strRef>
          <c:f>Zajednicka!$B$7</c:f>
          <c:strCache>
            <c:ptCount val="1"/>
            <c:pt idx="0">
              <c:v>Households with Internet access </c:v>
            </c:pt>
          </c:strCache>
        </c:strRef>
      </c:tx>
    </c:title>
    <c:plotArea>
      <c:layout>
        <c:manualLayout>
          <c:layoutTarget val="inner"/>
          <c:xMode val="edge"/>
          <c:yMode val="edge"/>
          <c:x val="7.2505872936095783E-2"/>
          <c:y val="0.12610837438423642"/>
          <c:w val="0.7156924107890783"/>
          <c:h val="0.79666653737248361"/>
        </c:manualLayout>
      </c:layout>
      <c:lineChart>
        <c:grouping val="standard"/>
        <c:ser>
          <c:idx val="1"/>
          <c:order val="0"/>
          <c:tx>
            <c:strRef>
              <c:f>Zajednicka!$A$9</c:f>
              <c:strCache>
                <c:ptCount val="1"/>
                <c:pt idx="0">
                  <c:v>EU(28)</c:v>
                </c:pt>
              </c:strCache>
            </c:strRef>
          </c:tx>
          <c:spPr>
            <a:ln>
              <a:solidFill>
                <a:schemeClr val="tx1"/>
              </a:solidFill>
              <a:prstDash val="sysDot"/>
            </a:ln>
          </c:spPr>
          <c:marker>
            <c:symbol val="none"/>
          </c:marker>
          <c:dLbls>
            <c:delete val="1"/>
          </c:dLbls>
          <c:cat>
            <c:numRef>
              <c:f>Zajednicka!$B$8:$G$8</c:f>
              <c:numCache>
                <c:formatCode>General</c:formatCode>
                <c:ptCount val="6"/>
                <c:pt idx="0">
                  <c:v>2011</c:v>
                </c:pt>
                <c:pt idx="1">
                  <c:v>2012</c:v>
                </c:pt>
                <c:pt idx="2">
                  <c:v>2013</c:v>
                </c:pt>
                <c:pt idx="3">
                  <c:v>2014</c:v>
                </c:pt>
                <c:pt idx="4">
                  <c:v>2015</c:v>
                </c:pt>
                <c:pt idx="5">
                  <c:v>2016</c:v>
                </c:pt>
              </c:numCache>
            </c:numRef>
          </c:cat>
          <c:val>
            <c:numRef>
              <c:f>Zajednicka!$B$9:$G$9</c:f>
              <c:numCache>
                <c:formatCode>0.00%</c:formatCode>
                <c:ptCount val="6"/>
                <c:pt idx="0">
                  <c:v>0.73000000000000065</c:v>
                </c:pt>
                <c:pt idx="1">
                  <c:v>0.7600000000000009</c:v>
                </c:pt>
                <c:pt idx="2">
                  <c:v>0.79</c:v>
                </c:pt>
                <c:pt idx="3">
                  <c:v>0.81</c:v>
                </c:pt>
                <c:pt idx="4">
                  <c:v>0.83000000000000063</c:v>
                </c:pt>
                <c:pt idx="5">
                  <c:v>0.85000000000000064</c:v>
                </c:pt>
              </c:numCache>
            </c:numRef>
          </c:val>
        </c:ser>
        <c:ser>
          <c:idx val="0"/>
          <c:order val="1"/>
          <c:tx>
            <c:strRef>
              <c:f>Zajednicka!$A$10</c:f>
              <c:strCache>
                <c:ptCount val="1"/>
                <c:pt idx="0">
                  <c:v>Serbia</c:v>
                </c:pt>
              </c:strCache>
            </c:strRef>
          </c:tx>
          <c:spPr>
            <a:ln>
              <a:solidFill>
                <a:schemeClr val="tx1"/>
              </a:solidFill>
              <a:prstDash val="dash"/>
            </a:ln>
          </c:spPr>
          <c:marker>
            <c:symbol val="none"/>
          </c:marker>
          <c:dLbls>
            <c:delete val="1"/>
          </c:dLbls>
          <c:cat>
            <c:numRef>
              <c:f>Zajednicka!$B$8:$G$8</c:f>
              <c:numCache>
                <c:formatCode>General</c:formatCode>
                <c:ptCount val="6"/>
                <c:pt idx="0">
                  <c:v>2011</c:v>
                </c:pt>
                <c:pt idx="1">
                  <c:v>2012</c:v>
                </c:pt>
                <c:pt idx="2">
                  <c:v>2013</c:v>
                </c:pt>
                <c:pt idx="3">
                  <c:v>2014</c:v>
                </c:pt>
                <c:pt idx="4">
                  <c:v>2015</c:v>
                </c:pt>
                <c:pt idx="5">
                  <c:v>2016</c:v>
                </c:pt>
              </c:numCache>
            </c:numRef>
          </c:cat>
          <c:val>
            <c:numRef>
              <c:f>Zajednicka!$B$10:$G$10</c:f>
              <c:numCache>
                <c:formatCode>0.00%</c:formatCode>
                <c:ptCount val="6"/>
                <c:pt idx="0">
                  <c:v>0.41200000000000031</c:v>
                </c:pt>
                <c:pt idx="1">
                  <c:v>0.47500000000000031</c:v>
                </c:pt>
                <c:pt idx="2">
                  <c:v>0.55800000000000005</c:v>
                </c:pt>
                <c:pt idx="3">
                  <c:v>0.62800000000000089</c:v>
                </c:pt>
                <c:pt idx="4">
                  <c:v>0.6380000000000009</c:v>
                </c:pt>
                <c:pt idx="5">
                  <c:v>0.64700000000000091</c:v>
                </c:pt>
              </c:numCache>
            </c:numRef>
          </c:val>
        </c:ser>
        <c:ser>
          <c:idx val="2"/>
          <c:order val="2"/>
          <c:tx>
            <c:strRef>
              <c:f>Zajednicka!$A$11</c:f>
              <c:strCache>
                <c:ptCount val="1"/>
                <c:pt idx="0">
                  <c:v>NSSB</c:v>
                </c:pt>
              </c:strCache>
            </c:strRef>
          </c:tx>
          <c:spPr>
            <a:ln>
              <a:solidFill>
                <a:schemeClr val="tx1"/>
              </a:solidFill>
            </a:ln>
          </c:spPr>
          <c:marker>
            <c:symbol val="none"/>
          </c:marker>
          <c:dLbls>
            <c:delete val="1"/>
          </c:dLbls>
          <c:cat>
            <c:numRef>
              <c:f>Zajednicka!$B$8:$G$8</c:f>
              <c:numCache>
                <c:formatCode>General</c:formatCode>
                <c:ptCount val="6"/>
                <c:pt idx="0">
                  <c:v>2011</c:v>
                </c:pt>
                <c:pt idx="1">
                  <c:v>2012</c:v>
                </c:pt>
                <c:pt idx="2">
                  <c:v>2013</c:v>
                </c:pt>
                <c:pt idx="3">
                  <c:v>2014</c:v>
                </c:pt>
                <c:pt idx="4">
                  <c:v>2015</c:v>
                </c:pt>
                <c:pt idx="5">
                  <c:v>2016</c:v>
                </c:pt>
              </c:numCache>
            </c:numRef>
          </c:cat>
          <c:val>
            <c:numRef>
              <c:f>Zajednicka!$B$11:$G$11</c:f>
              <c:numCache>
                <c:formatCode>0.00%</c:formatCode>
                <c:ptCount val="6"/>
                <c:pt idx="0">
                  <c:v>0.9</c:v>
                </c:pt>
                <c:pt idx="1">
                  <c:v>0.96916299559471353</c:v>
                </c:pt>
                <c:pt idx="2">
                  <c:v>0.9703703703703711</c:v>
                </c:pt>
                <c:pt idx="3">
                  <c:v>0.96216216216216144</c:v>
                </c:pt>
                <c:pt idx="4">
                  <c:v>0.97607655502392343</c:v>
                </c:pt>
                <c:pt idx="5">
                  <c:v>0.93877551020408334</c:v>
                </c:pt>
              </c:numCache>
            </c:numRef>
          </c:val>
        </c:ser>
        <c:dLbls>
          <c:showVal val="1"/>
        </c:dLbls>
        <c:marker val="1"/>
        <c:axId val="65983616"/>
        <c:axId val="65985152"/>
      </c:lineChart>
      <c:catAx>
        <c:axId val="65983616"/>
        <c:scaling>
          <c:orientation val="minMax"/>
        </c:scaling>
        <c:axPos val="b"/>
        <c:numFmt formatCode="General" sourceLinked="1"/>
        <c:tickLblPos val="nextTo"/>
        <c:crossAx val="65985152"/>
        <c:crosses val="autoZero"/>
        <c:auto val="1"/>
        <c:lblAlgn val="ctr"/>
        <c:lblOffset val="100"/>
      </c:catAx>
      <c:valAx>
        <c:axId val="65985152"/>
        <c:scaling>
          <c:orientation val="minMax"/>
          <c:max val="1.1000000000000001"/>
          <c:min val="0.4"/>
        </c:scaling>
        <c:axPos val="l"/>
        <c:majorGridlines/>
        <c:numFmt formatCode="0%" sourceLinked="0"/>
        <c:tickLblPos val="nextTo"/>
        <c:crossAx val="65983616"/>
        <c:crosses val="autoZero"/>
        <c:crossBetween val="between"/>
      </c:valAx>
    </c:plotArea>
    <c:legend>
      <c:legendPos val="r"/>
      <c:layout>
        <c:manualLayout>
          <c:xMode val="edge"/>
          <c:yMode val="edge"/>
          <c:x val="0.81152123402607512"/>
          <c:y val="0.45874170901051164"/>
          <c:w val="0.17713136267802593"/>
          <c:h val="0.31649973753280874"/>
        </c:manualLayout>
      </c:layout>
    </c:legend>
    <c:plotVisOnly val="1"/>
    <c:dispBlanksAs val="gap"/>
  </c:chart>
  <c:txPr>
    <a:bodyPr/>
    <a:lstStyle/>
    <a:p>
      <a:pPr>
        <a:defRPr sz="1000">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EFD1-F79F-481A-9CFF-D6BEDEDC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11</cp:revision>
  <dcterms:created xsi:type="dcterms:W3CDTF">2017-10-11T06:31:00Z</dcterms:created>
  <dcterms:modified xsi:type="dcterms:W3CDTF">2017-10-18T13:01:00Z</dcterms:modified>
</cp:coreProperties>
</file>