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1E" w:rsidRDefault="00A0041E" w:rsidP="00A0041E">
      <w:pPr>
        <w:jc w:val="center"/>
        <w:rPr>
          <w:b/>
          <w:sz w:val="28"/>
          <w:szCs w:val="28"/>
        </w:rPr>
      </w:pPr>
    </w:p>
    <w:p w:rsidR="00A0041E" w:rsidRDefault="00A0041E" w:rsidP="00A0041E">
      <w:pPr>
        <w:jc w:val="center"/>
        <w:rPr>
          <w:b/>
          <w:sz w:val="28"/>
          <w:szCs w:val="28"/>
        </w:rPr>
      </w:pPr>
    </w:p>
    <w:p w:rsidR="00A0041E" w:rsidRDefault="00A0041E" w:rsidP="00A0041E">
      <w:pPr>
        <w:jc w:val="center"/>
        <w:rPr>
          <w:b/>
          <w:sz w:val="28"/>
          <w:szCs w:val="28"/>
        </w:rPr>
      </w:pPr>
    </w:p>
    <w:p w:rsidR="00A0041E" w:rsidRPr="00710E42" w:rsidRDefault="00A0041E" w:rsidP="00A0041E">
      <w:pPr>
        <w:jc w:val="center"/>
        <w:rPr>
          <w:b/>
          <w:sz w:val="28"/>
          <w:szCs w:val="28"/>
        </w:rPr>
      </w:pPr>
      <w:r w:rsidRPr="0026139E">
        <w:rPr>
          <w:b/>
          <w:sz w:val="28"/>
          <w:szCs w:val="28"/>
        </w:rPr>
        <w:t xml:space="preserve">POSSIBILITY OF USING ALTERNATIVE ENERGY SOURCES FROM </w:t>
      </w:r>
      <w:r>
        <w:rPr>
          <w:b/>
          <w:sz w:val="28"/>
          <w:szCs w:val="28"/>
        </w:rPr>
        <w:t xml:space="preserve">THE </w:t>
      </w:r>
      <w:r w:rsidRPr="0026139E">
        <w:rPr>
          <w:b/>
          <w:sz w:val="28"/>
          <w:szCs w:val="28"/>
        </w:rPr>
        <w:t>ASPECT OF THE ENERGY POTENTIAL AND POSSIBILITIES OF FINANCING</w:t>
      </w:r>
    </w:p>
    <w:p w:rsidR="00A0041E" w:rsidRPr="002F516E" w:rsidRDefault="00A0041E" w:rsidP="00A0041E">
      <w:pPr>
        <w:jc w:val="center"/>
        <w:rPr>
          <w:i/>
          <w:sz w:val="20"/>
        </w:rPr>
      </w:pPr>
    </w:p>
    <w:p w:rsidR="00A0041E" w:rsidRPr="00710E42" w:rsidRDefault="00A0041E" w:rsidP="00A0041E">
      <w:pPr>
        <w:jc w:val="center"/>
        <w:rPr>
          <w:b/>
          <w:sz w:val="22"/>
          <w:szCs w:val="22"/>
        </w:rPr>
      </w:pPr>
      <w:r>
        <w:rPr>
          <w:b/>
          <w:sz w:val="22"/>
          <w:szCs w:val="22"/>
        </w:rPr>
        <w:t>Kristijan Vujičin</w:t>
      </w:r>
      <w:r w:rsidRPr="00710E42">
        <w:rPr>
          <w:b/>
          <w:sz w:val="22"/>
          <w:szCs w:val="22"/>
          <w:vertAlign w:val="superscript"/>
        </w:rPr>
        <w:t>1</w:t>
      </w:r>
      <w:r>
        <w:rPr>
          <w:b/>
          <w:sz w:val="22"/>
          <w:szCs w:val="22"/>
        </w:rPr>
        <w:t>, M.Sc.; Miroslav Vulić</w:t>
      </w:r>
      <w:r w:rsidRPr="00710E42">
        <w:rPr>
          <w:b/>
          <w:sz w:val="22"/>
          <w:szCs w:val="22"/>
          <w:vertAlign w:val="superscript"/>
        </w:rPr>
        <w:t>2</w:t>
      </w:r>
      <w:r>
        <w:rPr>
          <w:b/>
          <w:sz w:val="22"/>
          <w:szCs w:val="22"/>
        </w:rPr>
        <w:t>, M.Sc.</w:t>
      </w:r>
    </w:p>
    <w:p w:rsidR="00A0041E" w:rsidRDefault="00A0041E" w:rsidP="00A0041E">
      <w:pPr>
        <w:jc w:val="center"/>
        <w:rPr>
          <w:sz w:val="20"/>
        </w:rPr>
      </w:pPr>
      <w:r>
        <w:rPr>
          <w:sz w:val="20"/>
          <w:vertAlign w:val="superscript"/>
        </w:rPr>
        <w:t>1</w:t>
      </w:r>
      <w:r>
        <w:rPr>
          <w:sz w:val="20"/>
        </w:rPr>
        <w:t xml:space="preserve"> Faculty of mechanical engineering, University of Belgrade, Belgrade, REPUBLIC OF SERBIA, kristijan.vujicin@gmail.com</w:t>
      </w:r>
    </w:p>
    <w:p w:rsidR="00A0041E" w:rsidRDefault="00A0041E" w:rsidP="00A0041E">
      <w:pPr>
        <w:jc w:val="center"/>
        <w:rPr>
          <w:sz w:val="20"/>
        </w:rPr>
      </w:pPr>
      <w:r>
        <w:rPr>
          <w:sz w:val="20"/>
          <w:vertAlign w:val="superscript"/>
        </w:rPr>
        <w:t>2</w:t>
      </w:r>
      <w:r>
        <w:rPr>
          <w:sz w:val="20"/>
        </w:rPr>
        <w:t xml:space="preserve"> Faculty of mechanical engineering, University of Belgrade, Belgrade, REPUBLIC OF SERBIA, miroslavvulic@live.com</w:t>
      </w:r>
    </w:p>
    <w:p w:rsidR="00A0041E" w:rsidRPr="002F516E" w:rsidRDefault="00A0041E" w:rsidP="00A0041E">
      <w:pPr>
        <w:jc w:val="center"/>
        <w:rPr>
          <w:i/>
          <w:sz w:val="20"/>
        </w:rPr>
      </w:pPr>
    </w:p>
    <w:p w:rsidR="00A0041E" w:rsidRDefault="00A0041E" w:rsidP="00A0041E">
      <w:pPr>
        <w:jc w:val="center"/>
        <w:rPr>
          <w:sz w:val="20"/>
        </w:rPr>
      </w:pPr>
    </w:p>
    <w:p w:rsidR="00A0041E" w:rsidRPr="00681C90" w:rsidRDefault="00A0041E" w:rsidP="0089203A">
      <w:pPr>
        <w:jc w:val="both"/>
        <w:rPr>
          <w:i/>
          <w:color w:val="0070C0"/>
          <w:sz w:val="18"/>
          <w:szCs w:val="18"/>
        </w:rPr>
      </w:pPr>
      <w:r>
        <w:rPr>
          <w:b/>
          <w:i/>
          <w:sz w:val="18"/>
          <w:szCs w:val="18"/>
        </w:rPr>
        <w:t>Abstract</w:t>
      </w:r>
      <w:r w:rsidRPr="005A597B">
        <w:rPr>
          <w:b/>
          <w:i/>
          <w:sz w:val="18"/>
          <w:szCs w:val="18"/>
        </w:rPr>
        <w:t>:</w:t>
      </w:r>
      <w:r w:rsidRPr="005A597B">
        <w:rPr>
          <w:i/>
          <w:sz w:val="18"/>
          <w:szCs w:val="18"/>
        </w:rPr>
        <w:t xml:space="preserve">  </w:t>
      </w:r>
      <w:r>
        <w:rPr>
          <w:i/>
          <w:sz w:val="18"/>
          <w:szCs w:val="18"/>
        </w:rPr>
        <w:t>P</w:t>
      </w:r>
      <w:r w:rsidRPr="0026139E">
        <w:rPr>
          <w:i/>
          <w:sz w:val="18"/>
          <w:szCs w:val="18"/>
        </w:rPr>
        <w:t>aper show</w:t>
      </w:r>
      <w:r>
        <w:rPr>
          <w:i/>
          <w:sz w:val="18"/>
          <w:szCs w:val="18"/>
        </w:rPr>
        <w:t>s</w:t>
      </w:r>
      <w:r w:rsidRPr="0026139E">
        <w:rPr>
          <w:i/>
          <w:sz w:val="18"/>
          <w:szCs w:val="18"/>
        </w:rPr>
        <w:t xml:space="preserve"> possibilities of using renewable energy in Republic of Serbia</w:t>
      </w:r>
      <w:r>
        <w:rPr>
          <w:i/>
          <w:sz w:val="18"/>
          <w:szCs w:val="18"/>
        </w:rPr>
        <w:t xml:space="preserve"> (RS)</w:t>
      </w:r>
      <w:r w:rsidRPr="0026139E">
        <w:rPr>
          <w:i/>
          <w:sz w:val="18"/>
          <w:szCs w:val="18"/>
        </w:rPr>
        <w:t xml:space="preserve"> from the aspect of energy potentials as well as from the aspect of possibilities </w:t>
      </w:r>
      <w:r>
        <w:rPr>
          <w:i/>
          <w:sz w:val="18"/>
          <w:szCs w:val="18"/>
        </w:rPr>
        <w:t>of</w:t>
      </w:r>
      <w:r w:rsidRPr="0026139E">
        <w:rPr>
          <w:i/>
          <w:sz w:val="18"/>
          <w:szCs w:val="18"/>
        </w:rPr>
        <w:t xml:space="preserve"> financing projects and their rentability.</w:t>
      </w:r>
      <w:r>
        <w:rPr>
          <w:i/>
          <w:sz w:val="18"/>
          <w:szCs w:val="18"/>
        </w:rPr>
        <w:t xml:space="preserve"> </w:t>
      </w:r>
      <w:r w:rsidRPr="0026139E">
        <w:rPr>
          <w:i/>
          <w:sz w:val="18"/>
          <w:szCs w:val="18"/>
        </w:rPr>
        <w:t>Even though R</w:t>
      </w:r>
      <w:r>
        <w:rPr>
          <w:i/>
          <w:sz w:val="18"/>
          <w:szCs w:val="18"/>
        </w:rPr>
        <w:t xml:space="preserve">S </w:t>
      </w:r>
      <w:r w:rsidRPr="0026139E">
        <w:rPr>
          <w:i/>
          <w:sz w:val="18"/>
          <w:szCs w:val="18"/>
        </w:rPr>
        <w:t xml:space="preserve">has considerable energy potential in renewable energy, </w:t>
      </w:r>
      <w:r>
        <w:rPr>
          <w:i/>
          <w:sz w:val="18"/>
          <w:szCs w:val="18"/>
        </w:rPr>
        <w:t>it</w:t>
      </w:r>
      <w:r w:rsidRPr="0026139E">
        <w:rPr>
          <w:i/>
          <w:sz w:val="18"/>
          <w:szCs w:val="18"/>
        </w:rPr>
        <w:t xml:space="preserve"> is still in big way dependable on conventional energy sources which makes negative fact because the energy crisis, pollution and deficiency of raw material or their import.</w:t>
      </w:r>
      <w:r>
        <w:rPr>
          <w:i/>
          <w:sz w:val="18"/>
          <w:szCs w:val="18"/>
        </w:rPr>
        <w:t xml:space="preserve"> </w:t>
      </w:r>
      <w:r w:rsidRPr="0026139E">
        <w:rPr>
          <w:i/>
          <w:sz w:val="18"/>
          <w:szCs w:val="18"/>
        </w:rPr>
        <w:t>One of the most important barrier on switching to the cleaner technologies is deficiency of material resources for this type of investments despite numerous indicator of huge savings using alternative energy sources</w:t>
      </w:r>
      <w:r>
        <w:rPr>
          <w:i/>
          <w:sz w:val="18"/>
          <w:szCs w:val="18"/>
        </w:rPr>
        <w:t>,</w:t>
      </w:r>
      <w:r w:rsidRPr="0026139E">
        <w:rPr>
          <w:i/>
          <w:sz w:val="18"/>
          <w:szCs w:val="18"/>
        </w:rPr>
        <w:t xml:space="preserve"> underdeveloped national consciousness about the possibilities for using this type of energy sources and lack of information about funds wh</w:t>
      </w:r>
      <w:r>
        <w:rPr>
          <w:i/>
          <w:sz w:val="18"/>
          <w:szCs w:val="18"/>
        </w:rPr>
        <w:t>ich</w:t>
      </w:r>
      <w:r w:rsidRPr="0026139E">
        <w:rPr>
          <w:i/>
          <w:sz w:val="18"/>
          <w:szCs w:val="18"/>
        </w:rPr>
        <w:t xml:space="preserve"> financing this type of investments.</w:t>
      </w:r>
      <w:r>
        <w:rPr>
          <w:i/>
          <w:sz w:val="18"/>
          <w:szCs w:val="18"/>
        </w:rPr>
        <w:t xml:space="preserve"> Paper</w:t>
      </w:r>
      <w:r w:rsidRPr="0026139E">
        <w:rPr>
          <w:i/>
          <w:sz w:val="18"/>
          <w:szCs w:val="18"/>
        </w:rPr>
        <w:t xml:space="preserve"> </w:t>
      </w:r>
      <w:r>
        <w:rPr>
          <w:i/>
          <w:sz w:val="18"/>
          <w:szCs w:val="18"/>
        </w:rPr>
        <w:t>analysis a</w:t>
      </w:r>
      <w:r w:rsidRPr="0026139E">
        <w:rPr>
          <w:i/>
          <w:sz w:val="18"/>
          <w:szCs w:val="18"/>
        </w:rPr>
        <w:t xml:space="preserve"> plant which uses </w:t>
      </w:r>
      <w:r>
        <w:rPr>
          <w:i/>
          <w:sz w:val="18"/>
          <w:szCs w:val="18"/>
        </w:rPr>
        <w:t>solar energy</w:t>
      </w:r>
      <w:r w:rsidRPr="0026139E">
        <w:rPr>
          <w:i/>
          <w:sz w:val="18"/>
          <w:szCs w:val="18"/>
        </w:rPr>
        <w:t xml:space="preserve">, which is financed </w:t>
      </w:r>
      <w:r>
        <w:rPr>
          <w:i/>
          <w:sz w:val="18"/>
          <w:szCs w:val="18"/>
        </w:rPr>
        <w:t>by Provincial Secretariat for Energy and Mineral Resources of AP Vojvodina, Republic of Serbia.</w:t>
      </w:r>
    </w:p>
    <w:p w:rsidR="00A0041E" w:rsidRPr="005A597B" w:rsidRDefault="00A0041E" w:rsidP="00A0041E">
      <w:pPr>
        <w:rPr>
          <w:i/>
          <w:sz w:val="18"/>
          <w:szCs w:val="18"/>
          <w:lang w:val="en-GB"/>
        </w:rPr>
      </w:pPr>
    </w:p>
    <w:p w:rsidR="00A0041E" w:rsidRDefault="00A0041E" w:rsidP="00A0041E">
      <w:pPr>
        <w:rPr>
          <w:i/>
          <w:sz w:val="18"/>
          <w:szCs w:val="18"/>
        </w:rPr>
      </w:pPr>
      <w:r>
        <w:rPr>
          <w:b/>
          <w:i/>
          <w:sz w:val="18"/>
          <w:szCs w:val="18"/>
        </w:rPr>
        <w:t>Keywords</w:t>
      </w:r>
      <w:r w:rsidRPr="005A597B">
        <w:rPr>
          <w:b/>
          <w:i/>
          <w:sz w:val="18"/>
          <w:szCs w:val="18"/>
        </w:rPr>
        <w:t>:</w:t>
      </w:r>
      <w:r w:rsidRPr="005A597B">
        <w:rPr>
          <w:i/>
          <w:sz w:val="18"/>
          <w:szCs w:val="18"/>
        </w:rPr>
        <w:t xml:space="preserve">  </w:t>
      </w:r>
      <w:r>
        <w:rPr>
          <w:i/>
          <w:sz w:val="18"/>
          <w:szCs w:val="18"/>
        </w:rPr>
        <w:t>r</w:t>
      </w:r>
      <w:r w:rsidRPr="0026139E">
        <w:rPr>
          <w:i/>
          <w:sz w:val="18"/>
          <w:szCs w:val="18"/>
        </w:rPr>
        <w:t>enewable energy sources</w:t>
      </w:r>
      <w:r w:rsidRPr="005A597B">
        <w:rPr>
          <w:i/>
          <w:sz w:val="18"/>
          <w:szCs w:val="18"/>
        </w:rPr>
        <w:t xml:space="preserve">, </w:t>
      </w:r>
      <w:r>
        <w:rPr>
          <w:i/>
          <w:sz w:val="18"/>
          <w:szCs w:val="18"/>
        </w:rPr>
        <w:t>s</w:t>
      </w:r>
      <w:r w:rsidRPr="0026139E">
        <w:rPr>
          <w:i/>
          <w:sz w:val="18"/>
          <w:szCs w:val="18"/>
        </w:rPr>
        <w:t>olar energy</w:t>
      </w:r>
      <w:r w:rsidRPr="005A597B">
        <w:rPr>
          <w:i/>
          <w:sz w:val="18"/>
          <w:szCs w:val="18"/>
        </w:rPr>
        <w:t xml:space="preserve">, </w:t>
      </w:r>
      <w:r>
        <w:rPr>
          <w:i/>
          <w:sz w:val="18"/>
          <w:szCs w:val="18"/>
        </w:rPr>
        <w:t>e</w:t>
      </w:r>
      <w:r w:rsidRPr="0026139E">
        <w:rPr>
          <w:i/>
          <w:sz w:val="18"/>
          <w:szCs w:val="18"/>
        </w:rPr>
        <w:t>uropean directive</w:t>
      </w:r>
      <w:r>
        <w:rPr>
          <w:i/>
          <w:sz w:val="18"/>
          <w:szCs w:val="18"/>
        </w:rPr>
        <w:t>, environmental protection</w:t>
      </w:r>
    </w:p>
    <w:p w:rsidR="00E94F30" w:rsidRDefault="00E94F30" w:rsidP="00DD1FE6">
      <w:pPr>
        <w:pStyle w:val="BodyText3"/>
        <w:spacing w:after="0"/>
        <w:jc w:val="center"/>
        <w:rPr>
          <w:sz w:val="20"/>
          <w:szCs w:val="20"/>
        </w:rPr>
      </w:pPr>
    </w:p>
    <w:p w:rsidR="00E94F30" w:rsidRPr="00E94F30" w:rsidRDefault="00E94F30" w:rsidP="00DD1FE6">
      <w:pPr>
        <w:pStyle w:val="BodyText3"/>
        <w:spacing w:after="0"/>
        <w:jc w:val="center"/>
        <w:rPr>
          <w:sz w:val="20"/>
          <w:szCs w:val="20"/>
        </w:rPr>
      </w:pPr>
    </w:p>
    <w:p w:rsidR="005F350C" w:rsidRPr="00DD1FE6" w:rsidRDefault="005F350C" w:rsidP="00725C5D">
      <w:pPr>
        <w:jc w:val="center"/>
        <w:rPr>
          <w:color w:val="FF0000"/>
          <w:sz w:val="20"/>
          <w:lang w:val="de-DE"/>
        </w:rPr>
      </w:pPr>
    </w:p>
    <w:p w:rsidR="00725C5D" w:rsidRPr="00514642" w:rsidRDefault="00725C5D" w:rsidP="00725C5D">
      <w:pPr>
        <w:jc w:val="both"/>
        <w:rPr>
          <w:b/>
          <w:sz w:val="22"/>
          <w:szCs w:val="22"/>
        </w:rPr>
      </w:pPr>
      <w:r w:rsidRPr="00514642">
        <w:rPr>
          <w:b/>
          <w:sz w:val="22"/>
          <w:szCs w:val="22"/>
        </w:rPr>
        <w:t xml:space="preserve">1. </w:t>
      </w:r>
      <w:r w:rsidR="00510063" w:rsidRPr="00514642">
        <w:rPr>
          <w:b/>
          <w:sz w:val="22"/>
          <w:szCs w:val="22"/>
        </w:rPr>
        <w:t>ENERGENTI I NJIHOV UTICAJ NA KLIMATKSE PROMENE</w:t>
      </w:r>
    </w:p>
    <w:p w:rsidR="00725C5D" w:rsidRPr="00DD1FE6" w:rsidRDefault="00725C5D" w:rsidP="00725C5D">
      <w:pPr>
        <w:pStyle w:val="BodyText"/>
        <w:spacing w:before="0" w:beforeAutospacing="0" w:after="0" w:afterAutospacing="0"/>
        <w:jc w:val="both"/>
        <w:rPr>
          <w:color w:val="FF0000"/>
          <w:sz w:val="20"/>
          <w:szCs w:val="20"/>
          <w:lang w:val="sr-Latn-CS"/>
        </w:rPr>
      </w:pPr>
    </w:p>
    <w:p w:rsidR="00094C8D" w:rsidRPr="00CC003F" w:rsidRDefault="00094C8D" w:rsidP="00094C8D">
      <w:pPr>
        <w:jc w:val="both"/>
        <w:rPr>
          <w:sz w:val="20"/>
          <w:szCs w:val="20"/>
        </w:rPr>
      </w:pPr>
      <w:r w:rsidRPr="00907DA1">
        <w:rPr>
          <w:color w:val="000000"/>
          <w:sz w:val="20"/>
          <w:szCs w:val="20"/>
        </w:rPr>
        <w:t>Čovek menja klimu - i to takvim tempom, kakav ovaj svet još nije video. U toku poslednjih vekova, porastao je uticaj čoveka na klimatske procese.</w:t>
      </w:r>
    </w:p>
    <w:p w:rsidR="00094C8D" w:rsidRPr="00907DA1" w:rsidRDefault="00094C8D" w:rsidP="00094C8D">
      <w:pPr>
        <w:jc w:val="both"/>
        <w:rPr>
          <w:color w:val="000000"/>
          <w:sz w:val="20"/>
          <w:szCs w:val="20"/>
        </w:rPr>
      </w:pPr>
      <w:r w:rsidRPr="00CC003F">
        <w:rPr>
          <w:sz w:val="20"/>
          <w:szCs w:val="20"/>
        </w:rPr>
        <w:t xml:space="preserve">Svetska meteorološka organizacija (World Meteorological Organisation) </w:t>
      </w:r>
      <w:r w:rsidR="00B70DC5" w:rsidRPr="00CC003F">
        <w:rPr>
          <w:sz w:val="20"/>
          <w:szCs w:val="20"/>
        </w:rPr>
        <w:t xml:space="preserve">[1] </w:t>
      </w:r>
      <w:r w:rsidRPr="00CC003F">
        <w:rPr>
          <w:sz w:val="20"/>
          <w:szCs w:val="20"/>
        </w:rPr>
        <w:t xml:space="preserve">i Program za zaštitu životne sredine Ujedinjenih Nacija (Unated Nations Environment Programme) </w:t>
      </w:r>
      <w:r w:rsidR="00B70DC5" w:rsidRPr="00CC003F">
        <w:rPr>
          <w:sz w:val="20"/>
          <w:szCs w:val="20"/>
        </w:rPr>
        <w:t xml:space="preserve">[2] </w:t>
      </w:r>
      <w:r w:rsidRPr="00CC003F">
        <w:rPr>
          <w:sz w:val="20"/>
          <w:szCs w:val="20"/>
        </w:rPr>
        <w:t>su 1988. godine osnovale Međunarodni panel za promene klime (IPCC – International Panel of Climate Change)</w:t>
      </w:r>
      <w:r w:rsidR="00B70DC5" w:rsidRPr="00CC003F">
        <w:rPr>
          <w:sz w:val="20"/>
          <w:szCs w:val="20"/>
        </w:rPr>
        <w:t xml:space="preserve"> [3]</w:t>
      </w:r>
      <w:r w:rsidRPr="00CC003F">
        <w:rPr>
          <w:sz w:val="20"/>
          <w:szCs w:val="20"/>
        </w:rPr>
        <w:t>, koji je još 1990. godine utvrdio, da je u odnosu na vreme pre industrijalizazije (18. vek), koncentracija gasova koji izazivaju efekat staklene bašte u atmosferi uticala na atmosferu Zemlje i da će to uticati na intenzivnije zagrevanje Zemlje. Dodatno</w:t>
      </w:r>
      <w:r w:rsidRPr="00907DA1">
        <w:rPr>
          <w:color w:val="000000"/>
          <w:sz w:val="20"/>
          <w:szCs w:val="20"/>
        </w:rPr>
        <w:t xml:space="preserve"> povećanje koncentracije gasova sa efektom staklene bašte će dalje uticati na kompletnu promenu klime na Zemlji.</w:t>
      </w:r>
    </w:p>
    <w:p w:rsidR="00D4383A" w:rsidRPr="00DD1FE6" w:rsidRDefault="00D4383A" w:rsidP="00094C8D">
      <w:pPr>
        <w:rPr>
          <w:i/>
          <w:color w:val="FF0000"/>
          <w:sz w:val="20"/>
          <w:lang w:val="sr-Latn-CS"/>
        </w:rPr>
      </w:pPr>
    </w:p>
    <w:p w:rsidR="00725C5D" w:rsidRDefault="00725C5D" w:rsidP="00725C5D">
      <w:pPr>
        <w:rPr>
          <w:color w:val="FF0000"/>
          <w:sz w:val="20"/>
          <w:lang w:val="sr-Latn-CS"/>
        </w:rPr>
      </w:pPr>
    </w:p>
    <w:p w:rsidR="0008172A" w:rsidRPr="00101F36" w:rsidRDefault="0008172A" w:rsidP="0008172A">
      <w:pPr>
        <w:jc w:val="both"/>
        <w:rPr>
          <w:b/>
          <w:sz w:val="22"/>
          <w:szCs w:val="22"/>
          <w:lang w:val="sr-Latn-CS"/>
        </w:rPr>
      </w:pPr>
      <w:r w:rsidRPr="00101F36">
        <w:rPr>
          <w:b/>
          <w:sz w:val="22"/>
          <w:szCs w:val="22"/>
          <w:lang w:val="sr-Latn-CS"/>
        </w:rPr>
        <w:t xml:space="preserve">2. </w:t>
      </w:r>
      <w:r w:rsidR="00101F36" w:rsidRPr="00514642">
        <w:rPr>
          <w:b/>
          <w:sz w:val="22"/>
          <w:szCs w:val="22"/>
          <w:lang w:val="de-DE"/>
        </w:rPr>
        <w:t>KVANTIFIKOVANJE EKSTERNIH EFEKATA</w:t>
      </w:r>
    </w:p>
    <w:p w:rsidR="0008172A" w:rsidRDefault="0008172A" w:rsidP="00725C5D">
      <w:pPr>
        <w:rPr>
          <w:color w:val="FF0000"/>
          <w:sz w:val="20"/>
          <w:lang w:val="sr-Latn-CS"/>
        </w:rPr>
      </w:pPr>
    </w:p>
    <w:p w:rsidR="00101F36" w:rsidRPr="00101F36" w:rsidRDefault="00101F36" w:rsidP="00101F36">
      <w:pPr>
        <w:jc w:val="both"/>
        <w:rPr>
          <w:sz w:val="20"/>
          <w:szCs w:val="20"/>
          <w:lang w:val="sr-Latn-CS"/>
        </w:rPr>
      </w:pPr>
      <w:r w:rsidRPr="00101F36">
        <w:rPr>
          <w:sz w:val="20"/>
          <w:szCs w:val="20"/>
          <w:lang w:val="sr-Latn-CS"/>
        </w:rPr>
        <w:t>Efekti promene globalne klime su mnogostruki i veoma veliki. Uzajamna dejstva globalnog sistema klime, eko-sistema i socio-ekonomskog sistema su veoma kompleksna. Pod „eksternim troškovima“, podrazumeva se ono što bi se moglo označiti kao „novčana masa ugrožavanja životne sredine“.</w:t>
      </w:r>
    </w:p>
    <w:p w:rsidR="00101F36" w:rsidRPr="00514642" w:rsidRDefault="00101F36" w:rsidP="00101F36">
      <w:pPr>
        <w:jc w:val="both"/>
        <w:rPr>
          <w:sz w:val="20"/>
          <w:szCs w:val="20"/>
          <w:lang w:val="sr-Latn-CS"/>
        </w:rPr>
      </w:pPr>
      <w:r w:rsidRPr="00514642">
        <w:rPr>
          <w:sz w:val="20"/>
          <w:szCs w:val="20"/>
          <w:lang w:val="sr-Latn-CS"/>
        </w:rPr>
        <w:t xml:space="preserve">Podstrek u izgradnji Sistema koji koriste obnovljive oblike energije se ostvaruje na više načina, od kojih je finansijska podrška veoma bitna – bar u početnoj i ulaznoj (rastućoj) fazi. Ovakvu podršku nudi Zakon o obnovljivim izvorima energije </w:t>
      </w:r>
      <w:r w:rsidR="00B70DC5" w:rsidRPr="00514642">
        <w:rPr>
          <w:sz w:val="20"/>
          <w:szCs w:val="20"/>
          <w:lang w:val="sr-Latn-CS"/>
        </w:rPr>
        <w:t xml:space="preserve">[4] </w:t>
      </w:r>
      <w:r w:rsidRPr="00514642">
        <w:rPr>
          <w:sz w:val="20"/>
          <w:szCs w:val="20"/>
          <w:lang w:val="sr-Latn-CS"/>
        </w:rPr>
        <w:t>čijom primenom će se dovesti do delimične supstitucije električne energije iz konvencionalnih elektrana. Kao rezultat podsticaja  smanjuju se i štete po životnu sredinu, kao i eksterni troškovi koji iz toga proizilaze.</w:t>
      </w:r>
    </w:p>
    <w:p w:rsidR="00101F36" w:rsidRPr="00514642" w:rsidRDefault="00101F36" w:rsidP="00101F36">
      <w:pPr>
        <w:jc w:val="both"/>
        <w:rPr>
          <w:sz w:val="20"/>
          <w:szCs w:val="20"/>
          <w:lang w:val="sr-Latn-CS"/>
        </w:rPr>
      </w:pPr>
      <w:r w:rsidRPr="00514642">
        <w:rPr>
          <w:sz w:val="20"/>
          <w:szCs w:val="20"/>
          <w:lang w:val="sr-Latn-CS"/>
        </w:rPr>
        <w:t>Više nego ikada do sada i u svetlu prevencije od konflikata, zahteva se da politika prema klimi i energetska politika koncipiraju takvo snabdevanje energijom, koje će emisiju gasova sa efektom staklene bašte toliko prigušiti, da porast prosečne temperature na Zemlji do sredine 21. veka ne pređe 2</w:t>
      </w:r>
      <w:r w:rsidRPr="00514642">
        <w:rPr>
          <w:sz w:val="20"/>
          <w:szCs w:val="20"/>
          <w:vertAlign w:val="superscript"/>
          <w:lang w:val="sr-Latn-CS"/>
        </w:rPr>
        <w:t>0</w:t>
      </w:r>
      <w:r w:rsidRPr="00514642">
        <w:rPr>
          <w:sz w:val="20"/>
          <w:szCs w:val="20"/>
          <w:lang w:val="sr-Latn-CS"/>
        </w:rPr>
        <w:t xml:space="preserve"> C. To bi se, sa 60 % verovatnoće, moglo postići, ako koncentracija gasova sa efektom staklene bašte u atmosferi ne bi prešla 450 ppm (u predindustrijsko doba - do kraja 18.v., ona je iznosila 280 ppm, a 2000. godine je porasla na 360 ppm). Globalno, to bi zahtevalo, da se vrhunac emisije gasova sa efektom staklene bašte dostigne za manje od 10 godina, kako bi se do 2050. godine, post</w:t>
      </w:r>
      <w:r w:rsidR="009E0F38" w:rsidRPr="00514642">
        <w:rPr>
          <w:sz w:val="20"/>
          <w:szCs w:val="20"/>
          <w:lang w:val="sr-Latn-CS"/>
        </w:rPr>
        <w:t xml:space="preserve">iglo smanjenje emisije za 40 % </w:t>
      </w:r>
      <w:r w:rsidRPr="00514642">
        <w:rPr>
          <w:sz w:val="20"/>
          <w:szCs w:val="20"/>
          <w:lang w:val="sr-Latn-CS"/>
        </w:rPr>
        <w:t xml:space="preserve">- u odnosu na referentnu: 1990. godinu. Koliko je to ambiciozan cilj govori prognoza svetske agencije za energiju (IEA) </w:t>
      </w:r>
      <w:r w:rsidR="00B70DC5" w:rsidRPr="00514642">
        <w:rPr>
          <w:sz w:val="20"/>
          <w:szCs w:val="20"/>
          <w:lang w:val="sr-Latn-CS"/>
        </w:rPr>
        <w:t xml:space="preserve">[5] </w:t>
      </w:r>
      <w:r w:rsidRPr="00514642">
        <w:rPr>
          <w:sz w:val="20"/>
          <w:szCs w:val="20"/>
          <w:lang w:val="sr-Latn-CS"/>
        </w:rPr>
        <w:t>koja predviđa da će porast potreba za energijom do 2030. god. biti oko 60 %!</w:t>
      </w:r>
    </w:p>
    <w:p w:rsidR="00A42761" w:rsidRPr="00514642" w:rsidRDefault="00A42761" w:rsidP="00101F36">
      <w:pPr>
        <w:jc w:val="both"/>
        <w:rPr>
          <w:sz w:val="20"/>
          <w:szCs w:val="20"/>
          <w:lang w:val="sr-Latn-CS"/>
        </w:rPr>
      </w:pPr>
    </w:p>
    <w:p w:rsidR="00A42761" w:rsidRPr="00514642" w:rsidRDefault="00A42761" w:rsidP="00101F36">
      <w:pPr>
        <w:jc w:val="both"/>
        <w:rPr>
          <w:sz w:val="20"/>
          <w:szCs w:val="20"/>
          <w:lang w:val="sr-Latn-CS"/>
        </w:rPr>
      </w:pPr>
    </w:p>
    <w:p w:rsidR="00A42761" w:rsidRPr="00A42761" w:rsidRDefault="00A42761" w:rsidP="00A42761">
      <w:pPr>
        <w:jc w:val="both"/>
        <w:rPr>
          <w:b/>
          <w:sz w:val="22"/>
          <w:szCs w:val="22"/>
        </w:rPr>
      </w:pPr>
      <w:r>
        <w:rPr>
          <w:b/>
          <w:sz w:val="22"/>
          <w:szCs w:val="22"/>
        </w:rPr>
        <w:lastRenderedPageBreak/>
        <w:t>3</w:t>
      </w:r>
      <w:r w:rsidRPr="00101F36">
        <w:rPr>
          <w:b/>
          <w:sz w:val="22"/>
          <w:szCs w:val="22"/>
          <w:lang w:val="sr-Latn-CS"/>
        </w:rPr>
        <w:t xml:space="preserve">. </w:t>
      </w:r>
      <w:r>
        <w:rPr>
          <w:b/>
          <w:sz w:val="22"/>
          <w:szCs w:val="22"/>
        </w:rPr>
        <w:t xml:space="preserve">STANJE ENERGETSKE OPREME </w:t>
      </w:r>
    </w:p>
    <w:p w:rsidR="00A42761" w:rsidRDefault="00A42761" w:rsidP="00101F36">
      <w:pPr>
        <w:jc w:val="both"/>
        <w:rPr>
          <w:sz w:val="20"/>
          <w:szCs w:val="20"/>
          <w:lang w:val="sr-Latn-CS"/>
        </w:rPr>
      </w:pPr>
    </w:p>
    <w:p w:rsidR="005F350C" w:rsidRPr="00514642" w:rsidRDefault="005F350C" w:rsidP="005F350C">
      <w:pPr>
        <w:jc w:val="both"/>
        <w:rPr>
          <w:sz w:val="20"/>
          <w:szCs w:val="20"/>
          <w:lang w:val="sr-Latn-CS"/>
        </w:rPr>
      </w:pPr>
      <w:r w:rsidRPr="00514642">
        <w:rPr>
          <w:sz w:val="20"/>
          <w:szCs w:val="20"/>
          <w:lang w:val="sr-Latn-CS"/>
        </w:rPr>
        <w:t>Osnovna karakteristika energetskih sistema kod nas je izrazita tehnološka zastarelost i niska  energetska efikasnost, kao i trenutno zabrinjavajuće i dugoročno neprihvatljivo tehnološko stanje sa stanovišta životne sredine. Takvo tehnološko stanje proizvodnih objekta u svim navedenim sektorima energetike i dalje je krajnje kritično, kako sa stanovišta garantovane sigurnosti objekata tako i sa stanovišta energetske efikasnosti a posebno u pogledu uticaja na životnu sredinu.</w:t>
      </w:r>
    </w:p>
    <w:p w:rsidR="005F350C" w:rsidRPr="00514642" w:rsidRDefault="005F350C" w:rsidP="005F350C">
      <w:pPr>
        <w:jc w:val="both"/>
        <w:rPr>
          <w:sz w:val="20"/>
          <w:szCs w:val="20"/>
          <w:lang w:val="de-DE"/>
        </w:rPr>
      </w:pPr>
      <w:r w:rsidRPr="00514642">
        <w:rPr>
          <w:sz w:val="20"/>
          <w:szCs w:val="20"/>
          <w:lang w:val="de-DE"/>
        </w:rPr>
        <w:t xml:space="preserve">Nedostatak strategije i skromne materijalne mogućnosti, karakteristika su stanja u mnogim strukturama naše (energetske) privrede. Problem očuvanja životne sredine danas je veoma aktuelan i samo nedostatak propisa iz ove oblasti omogućuje rad mnogih energetskih postrojenja koja bi u razvijenim zemljama bila isključena iz pogona. Nema oblasti u privredi, u kojoj se uložena sredstva brže otplaćuju nego što je energetika. Ako je to tako, a jeste, onda nema nikakvog opravdanja za neodgovoran odnos prema racionalnoj potrošnji i štednji goriva kakav vlada kod nas. </w:t>
      </w:r>
    </w:p>
    <w:p w:rsidR="005F350C" w:rsidRPr="00514642" w:rsidRDefault="005F350C" w:rsidP="005F350C">
      <w:pPr>
        <w:jc w:val="both"/>
        <w:rPr>
          <w:sz w:val="20"/>
          <w:szCs w:val="20"/>
          <w:lang w:val="de-DE"/>
        </w:rPr>
      </w:pPr>
    </w:p>
    <w:p w:rsidR="005F350C" w:rsidRPr="00514642" w:rsidRDefault="005F350C" w:rsidP="005F350C">
      <w:pPr>
        <w:jc w:val="both"/>
        <w:rPr>
          <w:sz w:val="20"/>
          <w:szCs w:val="20"/>
          <w:lang w:val="de-DE"/>
        </w:rPr>
      </w:pPr>
    </w:p>
    <w:p w:rsidR="005F350C" w:rsidRPr="00A42761" w:rsidRDefault="005F350C" w:rsidP="005F350C">
      <w:pPr>
        <w:jc w:val="both"/>
        <w:rPr>
          <w:b/>
          <w:sz w:val="22"/>
          <w:szCs w:val="22"/>
        </w:rPr>
      </w:pPr>
      <w:r>
        <w:rPr>
          <w:b/>
          <w:sz w:val="22"/>
          <w:szCs w:val="22"/>
        </w:rPr>
        <w:t>4</w:t>
      </w:r>
      <w:r w:rsidRPr="00101F36">
        <w:rPr>
          <w:b/>
          <w:sz w:val="22"/>
          <w:szCs w:val="22"/>
          <w:lang w:val="sr-Latn-CS"/>
        </w:rPr>
        <w:t xml:space="preserve">. </w:t>
      </w:r>
      <w:r>
        <w:rPr>
          <w:b/>
          <w:sz w:val="22"/>
          <w:szCs w:val="22"/>
        </w:rPr>
        <w:t xml:space="preserve">EKOLOŠKI POVOLJNI OBNOVLJIVI IZVORI ENERGIJE </w:t>
      </w:r>
    </w:p>
    <w:p w:rsidR="005F350C" w:rsidRDefault="005F350C" w:rsidP="005F350C">
      <w:pPr>
        <w:jc w:val="both"/>
        <w:rPr>
          <w:sz w:val="20"/>
          <w:szCs w:val="20"/>
          <w:lang w:val="sr-Latn-CS"/>
        </w:rPr>
      </w:pPr>
    </w:p>
    <w:p w:rsidR="005F350C" w:rsidRPr="00514642" w:rsidRDefault="005F350C" w:rsidP="005F350C">
      <w:pPr>
        <w:jc w:val="both"/>
        <w:rPr>
          <w:color w:val="000000"/>
          <w:sz w:val="20"/>
          <w:szCs w:val="20"/>
          <w:lang w:val="de-DE"/>
        </w:rPr>
      </w:pPr>
      <w:r w:rsidRPr="00514642">
        <w:rPr>
          <w:color w:val="000000"/>
          <w:sz w:val="20"/>
          <w:szCs w:val="20"/>
          <w:lang w:val="de-DE"/>
        </w:rPr>
        <w:t>Za obnovljive izvore energije u koje spadaju hidropotencijali malih i velikih vodenih tokova, biomasa, energija sunčevog zračenja, geotermalna energija, energija vetra i dr. - postoje kod nas posebne pogodnosti i potrebe za njihovim organizovanim korišćenjem u tzv. decentralizovanoj proizvodnji toplotne (korišćenjem sunčeve energije i sagorevanjem biomase) i električne energije (izgradnjom mini hidroelektrana, snage do 10 MW i vetrogeneratora snage do 1 MW), za zadovoljenje potreba lokalnih potrošača kao i isporuke viškova električne energije lokalnoj mreži u okviru postojećih elektroenergetskih sistema.</w:t>
      </w:r>
    </w:p>
    <w:p w:rsidR="005F350C" w:rsidRPr="00514642" w:rsidRDefault="005F350C" w:rsidP="005F350C">
      <w:pPr>
        <w:jc w:val="both"/>
        <w:rPr>
          <w:color w:val="000000"/>
          <w:sz w:val="20"/>
          <w:szCs w:val="20"/>
          <w:lang w:val="de-DE"/>
        </w:rPr>
      </w:pPr>
    </w:p>
    <w:p w:rsidR="005F350C" w:rsidRPr="00514642" w:rsidRDefault="005F350C" w:rsidP="005F350C">
      <w:pPr>
        <w:jc w:val="both"/>
        <w:rPr>
          <w:color w:val="000000"/>
          <w:sz w:val="20"/>
          <w:szCs w:val="20"/>
          <w:lang w:val="de-DE"/>
        </w:rPr>
      </w:pPr>
    </w:p>
    <w:p w:rsidR="005F350C" w:rsidRPr="00101F36" w:rsidRDefault="005F350C" w:rsidP="005F350C">
      <w:pPr>
        <w:jc w:val="both"/>
        <w:rPr>
          <w:sz w:val="20"/>
          <w:szCs w:val="20"/>
          <w:lang w:val="sr-Latn-CS"/>
        </w:rPr>
      </w:pPr>
      <w:r>
        <w:rPr>
          <w:b/>
          <w:sz w:val="22"/>
          <w:szCs w:val="22"/>
        </w:rPr>
        <w:t>5</w:t>
      </w:r>
      <w:r w:rsidRPr="00101F36">
        <w:rPr>
          <w:b/>
          <w:sz w:val="22"/>
          <w:szCs w:val="22"/>
          <w:lang w:val="sr-Latn-CS"/>
        </w:rPr>
        <w:t xml:space="preserve">. </w:t>
      </w:r>
      <w:r>
        <w:rPr>
          <w:b/>
          <w:sz w:val="22"/>
          <w:szCs w:val="22"/>
        </w:rPr>
        <w:t>ENERGIJA SUNCA SA ASPEKTA ENERGETSKOG POTENCIJALA REPUBLIKE SRBIJE</w:t>
      </w:r>
    </w:p>
    <w:p w:rsidR="005F350C" w:rsidRDefault="005F350C" w:rsidP="00725C5D">
      <w:pPr>
        <w:jc w:val="both"/>
        <w:rPr>
          <w:color w:val="FF0000"/>
          <w:sz w:val="20"/>
          <w:szCs w:val="20"/>
          <w:lang w:val="sr-Latn-CS"/>
        </w:rPr>
      </w:pPr>
    </w:p>
    <w:p w:rsidR="005F350C" w:rsidRPr="00514642" w:rsidRDefault="005F350C" w:rsidP="00725C5D">
      <w:pPr>
        <w:jc w:val="both"/>
        <w:rPr>
          <w:rFonts w:eastAsia="ArialMT"/>
          <w:sz w:val="20"/>
          <w:szCs w:val="20"/>
          <w:lang w:val="de-DE"/>
        </w:rPr>
      </w:pPr>
      <w:r w:rsidRPr="00514642">
        <w:rPr>
          <w:rFonts w:eastAsia="ArialMT"/>
          <w:sz w:val="20"/>
          <w:szCs w:val="20"/>
          <w:lang w:val="de-DE"/>
        </w:rPr>
        <w:t>Energija Sunca predstavlja energetski potencijal Republike Srbije, koji se može koristiti za proizvodnju toplotne ili električne energije. Na većem delu teritorije Republike Srbije broj časova sunčevog zračenja znatno je veći nego u mnogim evropskim zemljama (između 1.500 i 2.200 časova godišnje). Prosečan intenzitet sunčevog zračenja na teritoriji Republike Srbije se kreće od 1,1 kWh/m</w:t>
      </w:r>
      <w:r w:rsidRPr="00514642">
        <w:rPr>
          <w:rFonts w:eastAsia="ArialMT"/>
          <w:sz w:val="20"/>
          <w:szCs w:val="20"/>
          <w:vertAlign w:val="superscript"/>
          <w:lang w:val="de-DE"/>
        </w:rPr>
        <w:t>2</w:t>
      </w:r>
      <w:r w:rsidRPr="00514642">
        <w:rPr>
          <w:rFonts w:eastAsia="ArialMT"/>
          <w:sz w:val="20"/>
          <w:szCs w:val="20"/>
          <w:lang w:val="de-DE"/>
        </w:rPr>
        <w:t>/dan na severu do 1,7 kWh/m</w:t>
      </w:r>
      <w:r w:rsidRPr="00514642">
        <w:rPr>
          <w:rFonts w:eastAsia="ArialMT"/>
          <w:sz w:val="20"/>
          <w:szCs w:val="20"/>
          <w:vertAlign w:val="superscript"/>
          <w:lang w:val="de-DE"/>
        </w:rPr>
        <w:t>2</w:t>
      </w:r>
      <w:r w:rsidRPr="00514642">
        <w:rPr>
          <w:rFonts w:eastAsia="ArialMT"/>
          <w:sz w:val="20"/>
          <w:szCs w:val="20"/>
          <w:lang w:val="de-DE"/>
        </w:rPr>
        <w:t>/dan na jugu - tokom januara, a od 5,9 do 6,6 kWh/m</w:t>
      </w:r>
      <w:r w:rsidRPr="00514642">
        <w:rPr>
          <w:rFonts w:eastAsia="ArialMT"/>
          <w:sz w:val="20"/>
          <w:szCs w:val="20"/>
          <w:vertAlign w:val="superscript"/>
          <w:lang w:val="de-DE"/>
        </w:rPr>
        <w:t>2</w:t>
      </w:r>
      <w:r w:rsidRPr="00514642">
        <w:rPr>
          <w:rFonts w:eastAsia="ArialMT"/>
          <w:sz w:val="20"/>
          <w:szCs w:val="20"/>
          <w:lang w:val="de-DE"/>
        </w:rPr>
        <w:t>/dan - tokom jula. Na godišnjem nivou, prosečna vrednost energije zračenja iznosi od 1.200 kWh/m</w:t>
      </w:r>
      <w:r w:rsidRPr="00514642">
        <w:rPr>
          <w:rFonts w:eastAsia="ArialMT"/>
          <w:sz w:val="20"/>
          <w:szCs w:val="20"/>
          <w:vertAlign w:val="superscript"/>
          <w:lang w:val="de-DE"/>
        </w:rPr>
        <w:t>2</w:t>
      </w:r>
      <w:r w:rsidRPr="00514642">
        <w:rPr>
          <w:rFonts w:eastAsia="ArialMT"/>
          <w:sz w:val="20"/>
          <w:szCs w:val="20"/>
          <w:lang w:val="de-DE"/>
        </w:rPr>
        <w:t>/godišnje u severozapadnoj Srbiji, do 1.550 kWh/m</w:t>
      </w:r>
      <w:r w:rsidRPr="00514642">
        <w:rPr>
          <w:rFonts w:eastAsia="ArialMT"/>
          <w:sz w:val="20"/>
          <w:szCs w:val="20"/>
          <w:vertAlign w:val="superscript"/>
          <w:lang w:val="de-DE"/>
        </w:rPr>
        <w:t>2</w:t>
      </w:r>
      <w:r w:rsidRPr="00514642">
        <w:rPr>
          <w:rFonts w:eastAsia="ArialMT"/>
          <w:sz w:val="20"/>
          <w:szCs w:val="20"/>
          <w:lang w:val="de-DE"/>
        </w:rPr>
        <w:t>/godišnje u jugoistočnoj Srbiji, dok u centralnom delu iznosi oko 1.400 kWh/m</w:t>
      </w:r>
      <w:r w:rsidRPr="00514642">
        <w:rPr>
          <w:rFonts w:eastAsia="ArialMT"/>
          <w:sz w:val="20"/>
          <w:szCs w:val="20"/>
          <w:vertAlign w:val="superscript"/>
          <w:lang w:val="de-DE"/>
        </w:rPr>
        <w:t>2</w:t>
      </w:r>
      <w:r w:rsidRPr="00514642">
        <w:rPr>
          <w:rFonts w:eastAsia="ArialMT"/>
          <w:sz w:val="20"/>
          <w:szCs w:val="20"/>
          <w:lang w:val="de-DE"/>
        </w:rPr>
        <w:t>/godišnje. Tehnički iskoristiv energetski potencijal za konverziju energije Sunca u toplotnu energiju (za pripremu tople vode i druge namene) je procenjen na 0,194 miliona ten godišnje uz pretpostavku primene solarnih termalnih kolektora na 50% raspoloživih objekata u zemlji. Što se tiče proizvodnje električne energije, osnovno tehničko ograničenje, kao i u slučaju vetra, predstavlja mogućnost elektroenergetskog sistema da ovu energiju prihvati u letnjim mesecima, pošto je u pitanju varijabilna proizvodnja. Na osnovu trenutno raspoloživih kapaciteta elektroenergetskog sistema Republike Srbije za obezbeđenje tercijalne rezerve usvojeno je da je maksimalni tehnički iskoristiv kapacitet solarnih elektrana 450 MW, odnosno, njihov tehnički iskoristiv potencijal iznosi 540 GWh/godišnje (0,046 Mtoe/godišnje).</w:t>
      </w:r>
    </w:p>
    <w:p w:rsidR="005F350C" w:rsidRPr="00514642" w:rsidRDefault="005F350C" w:rsidP="00725C5D">
      <w:pPr>
        <w:jc w:val="both"/>
        <w:rPr>
          <w:rFonts w:eastAsia="ArialMT"/>
          <w:sz w:val="20"/>
          <w:szCs w:val="20"/>
          <w:lang w:val="de-DE"/>
        </w:rPr>
      </w:pPr>
    </w:p>
    <w:p w:rsidR="005F350C" w:rsidRPr="00514642" w:rsidRDefault="005F350C" w:rsidP="00725C5D">
      <w:pPr>
        <w:jc w:val="both"/>
        <w:rPr>
          <w:rFonts w:eastAsia="ArialMT"/>
          <w:sz w:val="20"/>
          <w:szCs w:val="20"/>
          <w:lang w:val="de-DE"/>
        </w:rPr>
      </w:pPr>
    </w:p>
    <w:p w:rsidR="005F350C" w:rsidRDefault="005F350C" w:rsidP="00725C5D">
      <w:pPr>
        <w:jc w:val="both"/>
        <w:rPr>
          <w:color w:val="FF0000"/>
          <w:sz w:val="20"/>
          <w:szCs w:val="20"/>
          <w:lang w:val="sr-Latn-CS"/>
        </w:rPr>
      </w:pPr>
      <w:r>
        <w:rPr>
          <w:b/>
          <w:sz w:val="22"/>
          <w:szCs w:val="22"/>
        </w:rPr>
        <w:t>6</w:t>
      </w:r>
      <w:r w:rsidRPr="00101F36">
        <w:rPr>
          <w:b/>
          <w:sz w:val="22"/>
          <w:szCs w:val="22"/>
          <w:lang w:val="sr-Latn-CS"/>
        </w:rPr>
        <w:t xml:space="preserve">. </w:t>
      </w:r>
      <w:r>
        <w:rPr>
          <w:b/>
          <w:sz w:val="22"/>
          <w:szCs w:val="22"/>
        </w:rPr>
        <w:t>CILJEVI ENERGETSKE POLITIKE REPUBLIKE SRBIJE</w:t>
      </w:r>
    </w:p>
    <w:p w:rsidR="005F350C" w:rsidRDefault="005F350C" w:rsidP="00725C5D">
      <w:pPr>
        <w:jc w:val="both"/>
        <w:rPr>
          <w:color w:val="FF0000"/>
          <w:sz w:val="20"/>
          <w:szCs w:val="20"/>
          <w:lang w:val="sr-Latn-CS"/>
        </w:rPr>
      </w:pPr>
    </w:p>
    <w:p w:rsidR="005F350C" w:rsidRPr="00514642" w:rsidRDefault="005F350C" w:rsidP="005F350C">
      <w:pPr>
        <w:jc w:val="both"/>
        <w:rPr>
          <w:color w:val="000000"/>
          <w:sz w:val="20"/>
          <w:szCs w:val="20"/>
          <w:lang w:val="de-DE"/>
        </w:rPr>
      </w:pPr>
      <w:r w:rsidRPr="00514642">
        <w:rPr>
          <w:color w:val="000000"/>
          <w:sz w:val="20"/>
          <w:szCs w:val="20"/>
          <w:lang w:val="de-DE"/>
        </w:rPr>
        <w:t>Jedan od ciljeva energetske politike Srbije koji se odnose na veće korišćenje OIE, koje je Ministarstvo energetike i rudarstva, odnosno sektor za energetsku efikasnost i obnovljive izvore energije postavilo ispred sebe, jeste zamena korišćenja električne energije za proizvodnju sanitarne tople vode solarnom energijom i drugim izvorima OIE.</w:t>
      </w:r>
    </w:p>
    <w:p w:rsidR="005F350C" w:rsidRPr="00514642" w:rsidRDefault="005F350C" w:rsidP="005F350C">
      <w:pPr>
        <w:jc w:val="both"/>
        <w:rPr>
          <w:sz w:val="20"/>
          <w:szCs w:val="20"/>
          <w:lang w:val="de-DE"/>
        </w:rPr>
      </w:pPr>
      <w:r w:rsidRPr="00514642">
        <w:rPr>
          <w:sz w:val="20"/>
          <w:szCs w:val="20"/>
          <w:lang w:val="de-DE"/>
        </w:rPr>
        <w:t>Ciljevi nacionalne energetske poliotike vezani su na utvrđivanju njenih prioriteta i odgovarajućih instrumenata zasnovanih je na opredeljenju zemlje prema ekonomičnom usklađivanju razvoja celokupnog energetskog sistema sa ekonomskim razvojem zemlje i njenim uključivanjem u evropske integracije.</w:t>
      </w:r>
    </w:p>
    <w:p w:rsidR="005F350C" w:rsidRPr="00514642" w:rsidRDefault="005F350C" w:rsidP="005F350C">
      <w:pPr>
        <w:jc w:val="both"/>
        <w:rPr>
          <w:sz w:val="20"/>
          <w:szCs w:val="20"/>
          <w:lang w:val="de-DE"/>
        </w:rPr>
      </w:pPr>
      <w:r w:rsidRPr="00514642">
        <w:rPr>
          <w:sz w:val="20"/>
          <w:szCs w:val="20"/>
          <w:lang w:val="de-DE"/>
        </w:rPr>
        <w:t xml:space="preserve">U skladu sa Direktivom 2009/28/EC </w:t>
      </w:r>
      <w:r w:rsidR="00B70DC5" w:rsidRPr="00514642">
        <w:rPr>
          <w:sz w:val="20"/>
          <w:szCs w:val="20"/>
          <w:lang w:val="de-DE"/>
        </w:rPr>
        <w:t xml:space="preserve">[6] </w:t>
      </w:r>
      <w:r w:rsidRPr="00514642">
        <w:rPr>
          <w:sz w:val="20"/>
          <w:szCs w:val="20"/>
          <w:lang w:val="de-DE"/>
        </w:rPr>
        <w:t>i Odlukom Ministarskog saveta Energetske zajednice određen je veoma ambiciozan obavezujući cilj za republiku Srbiju koji iznosi 27% obnovljivih izvora energije u njenoj bruto finalnoj potrošnji energije u 2020. godini.</w:t>
      </w:r>
    </w:p>
    <w:p w:rsidR="005F350C" w:rsidRPr="00514642" w:rsidRDefault="005F350C" w:rsidP="005F350C">
      <w:pPr>
        <w:jc w:val="both"/>
        <w:rPr>
          <w:color w:val="FF0000"/>
          <w:sz w:val="20"/>
          <w:szCs w:val="20"/>
          <w:lang w:val="de-DE"/>
        </w:rPr>
      </w:pPr>
      <w:r w:rsidRPr="00514642">
        <w:rPr>
          <w:sz w:val="20"/>
          <w:szCs w:val="20"/>
          <w:lang w:val="de-DE"/>
        </w:rPr>
        <w:t>Uz problem o nedovoljno razvijenoj nacionalnoj sveti o mogućnostima korišćenja alternativnih vidova en</w:t>
      </w:r>
      <w:r w:rsidR="00220BE7" w:rsidRPr="00514642">
        <w:rPr>
          <w:sz w:val="20"/>
          <w:szCs w:val="20"/>
          <w:lang w:val="de-DE"/>
        </w:rPr>
        <w:t>ergije, veliki problem predstav</w:t>
      </w:r>
      <w:r w:rsidRPr="00514642">
        <w:rPr>
          <w:sz w:val="20"/>
          <w:szCs w:val="20"/>
          <w:lang w:val="de-DE"/>
        </w:rPr>
        <w:t xml:space="preserve">lja nedostatak materijalnih sredstava koji prati našu zemlju, kao i zemlje okruženja. U cilju svega ovoga država raspisuje javne pozive za dodelu sredstava iz Budžetskog fonda za unapređemnje energetske efikasnosti u oblasti efikasnog korišćenja energije. Takođe, postoji niz evropskih fondova koji finansiraju ovakve investicije. U daljem tekstu prikazan je deo projekta koji je finansiran od </w:t>
      </w:r>
      <w:r w:rsidR="009E65B9" w:rsidRPr="00514642">
        <w:rPr>
          <w:sz w:val="20"/>
          <w:szCs w:val="20"/>
          <w:lang w:val="de-DE"/>
        </w:rPr>
        <w:t xml:space="preserve">strane Pokrajinskog sekretarijata za energetiku i </w:t>
      </w:r>
      <w:r w:rsidR="009B07CE" w:rsidRPr="00514642">
        <w:rPr>
          <w:sz w:val="20"/>
          <w:szCs w:val="20"/>
          <w:lang w:val="de-DE"/>
        </w:rPr>
        <w:t>mineralne sirovine.</w:t>
      </w:r>
    </w:p>
    <w:p w:rsidR="0057414F" w:rsidRPr="00514642" w:rsidRDefault="0057414F" w:rsidP="005F350C">
      <w:pPr>
        <w:jc w:val="both"/>
        <w:rPr>
          <w:color w:val="FF0000"/>
          <w:sz w:val="20"/>
          <w:szCs w:val="20"/>
          <w:lang w:val="de-DE"/>
        </w:rPr>
      </w:pPr>
    </w:p>
    <w:p w:rsidR="0057414F" w:rsidRPr="00514642" w:rsidRDefault="0057414F" w:rsidP="005F350C">
      <w:pPr>
        <w:jc w:val="both"/>
        <w:rPr>
          <w:color w:val="FF0000"/>
          <w:sz w:val="20"/>
          <w:szCs w:val="20"/>
          <w:lang w:val="de-DE"/>
        </w:rPr>
      </w:pPr>
    </w:p>
    <w:p w:rsidR="0057414F" w:rsidRPr="0026331E" w:rsidRDefault="0057414F" w:rsidP="005F350C">
      <w:pPr>
        <w:jc w:val="both"/>
        <w:rPr>
          <w:b/>
          <w:sz w:val="22"/>
          <w:szCs w:val="22"/>
        </w:rPr>
      </w:pPr>
      <w:r w:rsidRPr="0026331E">
        <w:rPr>
          <w:b/>
          <w:sz w:val="22"/>
          <w:szCs w:val="22"/>
        </w:rPr>
        <w:t>7</w:t>
      </w:r>
      <w:r w:rsidRPr="0026331E">
        <w:rPr>
          <w:b/>
          <w:sz w:val="22"/>
          <w:szCs w:val="22"/>
          <w:lang w:val="sr-Latn-CS"/>
        </w:rPr>
        <w:t xml:space="preserve">. </w:t>
      </w:r>
      <w:r w:rsidR="00DD3463" w:rsidRPr="0026331E">
        <w:rPr>
          <w:b/>
          <w:sz w:val="22"/>
          <w:szCs w:val="22"/>
        </w:rPr>
        <w:t>SOLARNI KOLEKTORI SA SISTEMOM ZA GREJANJE SANITARNE VODE</w:t>
      </w:r>
    </w:p>
    <w:p w:rsidR="0057414F" w:rsidRPr="0026331E" w:rsidRDefault="0057414F" w:rsidP="005F350C">
      <w:pPr>
        <w:jc w:val="both"/>
        <w:rPr>
          <w:sz w:val="20"/>
          <w:szCs w:val="20"/>
        </w:rPr>
      </w:pPr>
    </w:p>
    <w:p w:rsidR="006A7C66" w:rsidRPr="00514642" w:rsidRDefault="006A7C66" w:rsidP="006A7C66">
      <w:pPr>
        <w:jc w:val="both"/>
        <w:rPr>
          <w:b/>
          <w:sz w:val="22"/>
          <w:szCs w:val="22"/>
        </w:rPr>
      </w:pPr>
      <w:r w:rsidRPr="00514642">
        <w:rPr>
          <w:b/>
          <w:sz w:val="22"/>
          <w:szCs w:val="22"/>
        </w:rPr>
        <w:t xml:space="preserve">7.1. </w:t>
      </w:r>
      <w:r w:rsidRPr="0026331E">
        <w:rPr>
          <w:b/>
          <w:sz w:val="22"/>
          <w:szCs w:val="22"/>
        </w:rPr>
        <w:t>Tehni</w:t>
      </w:r>
      <w:r w:rsidRPr="00514642">
        <w:rPr>
          <w:b/>
          <w:sz w:val="22"/>
          <w:szCs w:val="22"/>
        </w:rPr>
        <w:t>č</w:t>
      </w:r>
      <w:r w:rsidRPr="0026331E">
        <w:rPr>
          <w:b/>
          <w:sz w:val="22"/>
          <w:szCs w:val="22"/>
        </w:rPr>
        <w:t>ki</w:t>
      </w:r>
      <w:r w:rsidRPr="00514642">
        <w:rPr>
          <w:b/>
          <w:sz w:val="22"/>
          <w:szCs w:val="22"/>
        </w:rPr>
        <w:t xml:space="preserve"> </w:t>
      </w:r>
      <w:r w:rsidRPr="0026331E">
        <w:rPr>
          <w:b/>
          <w:sz w:val="22"/>
          <w:szCs w:val="22"/>
        </w:rPr>
        <w:t>opis</w:t>
      </w:r>
    </w:p>
    <w:p w:rsidR="006A7C66" w:rsidRPr="00514642" w:rsidRDefault="006A7C66" w:rsidP="006A7C66">
      <w:pPr>
        <w:rPr>
          <w:i/>
          <w:sz w:val="20"/>
        </w:rPr>
      </w:pPr>
    </w:p>
    <w:p w:rsidR="0057414F" w:rsidRPr="00514642" w:rsidRDefault="0057414F" w:rsidP="005F350C">
      <w:pPr>
        <w:jc w:val="both"/>
        <w:rPr>
          <w:sz w:val="20"/>
          <w:szCs w:val="20"/>
        </w:rPr>
      </w:pPr>
      <w:r w:rsidRPr="0057414F">
        <w:rPr>
          <w:sz w:val="20"/>
          <w:szCs w:val="20"/>
        </w:rPr>
        <w:t>U</w:t>
      </w:r>
      <w:r w:rsidRPr="00514642">
        <w:rPr>
          <w:sz w:val="20"/>
          <w:szCs w:val="20"/>
        </w:rPr>
        <w:t xml:space="preserve"> </w:t>
      </w:r>
      <w:r>
        <w:rPr>
          <w:sz w:val="20"/>
          <w:szCs w:val="20"/>
        </w:rPr>
        <w:t>cilju</w:t>
      </w:r>
      <w:r w:rsidRPr="00514642">
        <w:rPr>
          <w:sz w:val="20"/>
          <w:szCs w:val="20"/>
        </w:rPr>
        <w:t xml:space="preserve"> </w:t>
      </w:r>
      <w:r>
        <w:rPr>
          <w:sz w:val="20"/>
          <w:szCs w:val="20"/>
        </w:rPr>
        <w:t>racionalnog</w:t>
      </w:r>
      <w:r w:rsidRPr="00514642">
        <w:rPr>
          <w:sz w:val="20"/>
          <w:szCs w:val="20"/>
        </w:rPr>
        <w:t xml:space="preserve"> </w:t>
      </w:r>
      <w:r>
        <w:rPr>
          <w:sz w:val="20"/>
          <w:szCs w:val="20"/>
        </w:rPr>
        <w:t>kori</w:t>
      </w:r>
      <w:r w:rsidRPr="00514642">
        <w:rPr>
          <w:sz w:val="20"/>
          <w:szCs w:val="20"/>
        </w:rPr>
        <w:t>šć</w:t>
      </w:r>
      <w:r>
        <w:rPr>
          <w:sz w:val="20"/>
          <w:szCs w:val="20"/>
        </w:rPr>
        <w:t>enja</w:t>
      </w:r>
      <w:r w:rsidRPr="00514642">
        <w:rPr>
          <w:sz w:val="20"/>
          <w:szCs w:val="20"/>
        </w:rPr>
        <w:t xml:space="preserve"> </w:t>
      </w:r>
      <w:r>
        <w:rPr>
          <w:sz w:val="20"/>
          <w:szCs w:val="20"/>
        </w:rPr>
        <w:t>energije</w:t>
      </w:r>
      <w:r w:rsidRPr="00514642">
        <w:rPr>
          <w:sz w:val="20"/>
          <w:szCs w:val="20"/>
        </w:rPr>
        <w:t xml:space="preserve"> </w:t>
      </w:r>
      <w:r>
        <w:rPr>
          <w:sz w:val="20"/>
          <w:szCs w:val="20"/>
        </w:rPr>
        <w:t>Menad</w:t>
      </w:r>
      <w:r w:rsidRPr="00514642">
        <w:rPr>
          <w:sz w:val="20"/>
          <w:szCs w:val="20"/>
        </w:rPr>
        <w:t>ž</w:t>
      </w:r>
      <w:r>
        <w:rPr>
          <w:sz w:val="20"/>
          <w:szCs w:val="20"/>
        </w:rPr>
        <w:t>ment</w:t>
      </w:r>
      <w:r w:rsidRPr="00514642">
        <w:rPr>
          <w:sz w:val="20"/>
          <w:szCs w:val="20"/>
        </w:rPr>
        <w:t xml:space="preserve"> </w:t>
      </w:r>
      <w:r>
        <w:rPr>
          <w:sz w:val="20"/>
          <w:szCs w:val="20"/>
        </w:rPr>
        <w:t>Gerontolo</w:t>
      </w:r>
      <w:r w:rsidRPr="00514642">
        <w:rPr>
          <w:sz w:val="20"/>
          <w:szCs w:val="20"/>
        </w:rPr>
        <w:t>š</w:t>
      </w:r>
      <w:r>
        <w:rPr>
          <w:sz w:val="20"/>
          <w:szCs w:val="20"/>
        </w:rPr>
        <w:t>kog</w:t>
      </w:r>
      <w:r w:rsidRPr="00514642">
        <w:rPr>
          <w:sz w:val="20"/>
          <w:szCs w:val="20"/>
        </w:rPr>
        <w:t xml:space="preserve"> </w:t>
      </w:r>
      <w:r>
        <w:rPr>
          <w:sz w:val="20"/>
          <w:szCs w:val="20"/>
        </w:rPr>
        <w:t>centra</w:t>
      </w:r>
      <w:r w:rsidRPr="00514642">
        <w:rPr>
          <w:sz w:val="20"/>
          <w:szCs w:val="20"/>
        </w:rPr>
        <w:t xml:space="preserve"> “</w:t>
      </w:r>
      <w:r>
        <w:rPr>
          <w:sz w:val="20"/>
          <w:szCs w:val="20"/>
        </w:rPr>
        <w:t>Srem</w:t>
      </w:r>
      <w:r w:rsidRPr="00514642">
        <w:rPr>
          <w:sz w:val="20"/>
          <w:szCs w:val="20"/>
        </w:rPr>
        <w:t xml:space="preserve">” </w:t>
      </w:r>
      <w:r>
        <w:rPr>
          <w:sz w:val="20"/>
          <w:szCs w:val="20"/>
        </w:rPr>
        <w:t>iz</w:t>
      </w:r>
      <w:r w:rsidRPr="00514642">
        <w:rPr>
          <w:sz w:val="20"/>
          <w:szCs w:val="20"/>
        </w:rPr>
        <w:t xml:space="preserve"> </w:t>
      </w:r>
      <w:r>
        <w:rPr>
          <w:sz w:val="20"/>
          <w:szCs w:val="20"/>
        </w:rPr>
        <w:t>Rume</w:t>
      </w:r>
      <w:r w:rsidRPr="00514642">
        <w:rPr>
          <w:sz w:val="20"/>
          <w:szCs w:val="20"/>
        </w:rPr>
        <w:t xml:space="preserve"> </w:t>
      </w:r>
      <w:r>
        <w:rPr>
          <w:sz w:val="20"/>
          <w:szCs w:val="20"/>
        </w:rPr>
        <w:t>prepoznao</w:t>
      </w:r>
      <w:r w:rsidRPr="00514642">
        <w:rPr>
          <w:sz w:val="20"/>
          <w:szCs w:val="20"/>
        </w:rPr>
        <w:t xml:space="preserve"> </w:t>
      </w:r>
      <w:r>
        <w:rPr>
          <w:sz w:val="20"/>
          <w:szCs w:val="20"/>
        </w:rPr>
        <w:t>je</w:t>
      </w:r>
      <w:r w:rsidRPr="00514642">
        <w:rPr>
          <w:sz w:val="20"/>
          <w:szCs w:val="20"/>
        </w:rPr>
        <w:t xml:space="preserve"> </w:t>
      </w:r>
      <w:r>
        <w:rPr>
          <w:sz w:val="20"/>
          <w:szCs w:val="20"/>
        </w:rPr>
        <w:t>zna</w:t>
      </w:r>
      <w:r w:rsidRPr="00514642">
        <w:rPr>
          <w:sz w:val="20"/>
          <w:szCs w:val="20"/>
        </w:rPr>
        <w:t>č</w:t>
      </w:r>
      <w:r>
        <w:rPr>
          <w:sz w:val="20"/>
          <w:szCs w:val="20"/>
        </w:rPr>
        <w:t>aj</w:t>
      </w:r>
      <w:r w:rsidRPr="00514642">
        <w:rPr>
          <w:sz w:val="20"/>
          <w:szCs w:val="20"/>
        </w:rPr>
        <w:t xml:space="preserve"> </w:t>
      </w:r>
      <w:r>
        <w:rPr>
          <w:sz w:val="20"/>
          <w:szCs w:val="20"/>
        </w:rPr>
        <w:t>pomenutog</w:t>
      </w:r>
      <w:r w:rsidRPr="00514642">
        <w:rPr>
          <w:sz w:val="20"/>
          <w:szCs w:val="20"/>
        </w:rPr>
        <w:t xml:space="preserve"> </w:t>
      </w:r>
      <w:r>
        <w:rPr>
          <w:sz w:val="20"/>
          <w:szCs w:val="20"/>
        </w:rPr>
        <w:t>u</w:t>
      </w:r>
      <w:r w:rsidRPr="00514642">
        <w:rPr>
          <w:sz w:val="20"/>
          <w:szCs w:val="20"/>
        </w:rPr>
        <w:t xml:space="preserve"> </w:t>
      </w:r>
      <w:r>
        <w:rPr>
          <w:sz w:val="20"/>
          <w:szCs w:val="20"/>
        </w:rPr>
        <w:t>cilju</w:t>
      </w:r>
      <w:r w:rsidRPr="00514642">
        <w:rPr>
          <w:sz w:val="20"/>
          <w:szCs w:val="20"/>
        </w:rPr>
        <w:t xml:space="preserve"> </w:t>
      </w:r>
      <w:r>
        <w:rPr>
          <w:sz w:val="20"/>
          <w:szCs w:val="20"/>
        </w:rPr>
        <w:t>smanjenja</w:t>
      </w:r>
      <w:r w:rsidRPr="00514642">
        <w:rPr>
          <w:sz w:val="20"/>
          <w:szCs w:val="20"/>
        </w:rPr>
        <w:t xml:space="preserve"> </w:t>
      </w:r>
      <w:r>
        <w:rPr>
          <w:sz w:val="20"/>
          <w:szCs w:val="20"/>
        </w:rPr>
        <w:t>tro</w:t>
      </w:r>
      <w:r w:rsidRPr="00514642">
        <w:rPr>
          <w:sz w:val="20"/>
          <w:szCs w:val="20"/>
        </w:rPr>
        <w:t>š</w:t>
      </w:r>
      <w:r>
        <w:rPr>
          <w:sz w:val="20"/>
          <w:szCs w:val="20"/>
        </w:rPr>
        <w:t>kova</w:t>
      </w:r>
      <w:r w:rsidRPr="00514642">
        <w:rPr>
          <w:sz w:val="20"/>
          <w:szCs w:val="20"/>
        </w:rPr>
        <w:t xml:space="preserve"> </w:t>
      </w:r>
      <w:r>
        <w:rPr>
          <w:sz w:val="20"/>
          <w:szCs w:val="20"/>
        </w:rPr>
        <w:t>energenata</w:t>
      </w:r>
      <w:r w:rsidRPr="00514642">
        <w:rPr>
          <w:sz w:val="20"/>
          <w:szCs w:val="20"/>
        </w:rPr>
        <w:t>.</w:t>
      </w:r>
    </w:p>
    <w:p w:rsidR="00725C5D" w:rsidRPr="00514642" w:rsidRDefault="00686783" w:rsidP="009C6A7C">
      <w:pPr>
        <w:jc w:val="both"/>
        <w:rPr>
          <w:sz w:val="20"/>
          <w:szCs w:val="20"/>
        </w:rPr>
      </w:pPr>
      <w:r>
        <w:rPr>
          <w:sz w:val="20"/>
          <w:szCs w:val="20"/>
        </w:rPr>
        <w:t>Projektom</w:t>
      </w:r>
      <w:r w:rsidRPr="00514642">
        <w:rPr>
          <w:sz w:val="20"/>
          <w:szCs w:val="20"/>
        </w:rPr>
        <w:t xml:space="preserve"> </w:t>
      </w:r>
      <w:r>
        <w:rPr>
          <w:sz w:val="20"/>
          <w:szCs w:val="20"/>
        </w:rPr>
        <w:t>je</w:t>
      </w:r>
      <w:r w:rsidRPr="00514642">
        <w:rPr>
          <w:sz w:val="20"/>
          <w:szCs w:val="20"/>
        </w:rPr>
        <w:t xml:space="preserve"> </w:t>
      </w:r>
      <w:r>
        <w:rPr>
          <w:sz w:val="20"/>
          <w:szCs w:val="20"/>
        </w:rPr>
        <w:t>predvi</w:t>
      </w:r>
      <w:r w:rsidRPr="00514642">
        <w:rPr>
          <w:sz w:val="20"/>
          <w:szCs w:val="20"/>
        </w:rPr>
        <w:t>đ</w:t>
      </w:r>
      <w:r>
        <w:rPr>
          <w:sz w:val="20"/>
          <w:szCs w:val="20"/>
        </w:rPr>
        <w:t>eno</w:t>
      </w:r>
      <w:r w:rsidRPr="00514642">
        <w:rPr>
          <w:sz w:val="20"/>
          <w:szCs w:val="20"/>
        </w:rPr>
        <w:t xml:space="preserve"> </w:t>
      </w:r>
      <w:r w:rsidR="009C6A7C">
        <w:rPr>
          <w:sz w:val="20"/>
          <w:szCs w:val="20"/>
        </w:rPr>
        <w:t>da</w:t>
      </w:r>
      <w:r w:rsidR="009C6A7C" w:rsidRPr="00514642">
        <w:rPr>
          <w:sz w:val="20"/>
          <w:szCs w:val="20"/>
        </w:rPr>
        <w:t xml:space="preserve"> </w:t>
      </w:r>
      <w:r w:rsidR="009C6A7C">
        <w:rPr>
          <w:sz w:val="20"/>
          <w:szCs w:val="20"/>
        </w:rPr>
        <w:t>se</w:t>
      </w:r>
      <w:r w:rsidR="009C6A7C" w:rsidRPr="00514642">
        <w:rPr>
          <w:sz w:val="20"/>
          <w:szCs w:val="20"/>
        </w:rPr>
        <w:t xml:space="preserve"> </w:t>
      </w:r>
      <w:r w:rsidR="009C6A7C">
        <w:rPr>
          <w:sz w:val="20"/>
          <w:szCs w:val="20"/>
        </w:rPr>
        <w:t>sun</w:t>
      </w:r>
      <w:r w:rsidR="009C6A7C" w:rsidRPr="00514642">
        <w:rPr>
          <w:sz w:val="20"/>
          <w:szCs w:val="20"/>
        </w:rPr>
        <w:t>č</w:t>
      </w:r>
      <w:r w:rsidR="009C6A7C">
        <w:rPr>
          <w:sz w:val="20"/>
          <w:szCs w:val="20"/>
        </w:rPr>
        <w:t>evom</w:t>
      </w:r>
      <w:r w:rsidR="009C6A7C" w:rsidRPr="00514642">
        <w:rPr>
          <w:sz w:val="20"/>
          <w:szCs w:val="20"/>
        </w:rPr>
        <w:t xml:space="preserve"> </w:t>
      </w:r>
      <w:r w:rsidR="009C6A7C">
        <w:rPr>
          <w:sz w:val="20"/>
          <w:szCs w:val="20"/>
        </w:rPr>
        <w:t>energijom</w:t>
      </w:r>
      <w:r w:rsidR="009C6A7C" w:rsidRPr="00514642">
        <w:rPr>
          <w:sz w:val="20"/>
          <w:szCs w:val="20"/>
        </w:rPr>
        <w:t xml:space="preserve"> </w:t>
      </w:r>
      <w:r w:rsidR="009C6A7C">
        <w:rPr>
          <w:sz w:val="20"/>
          <w:szCs w:val="20"/>
        </w:rPr>
        <w:t>greje</w:t>
      </w:r>
      <w:r w:rsidR="009C6A7C" w:rsidRPr="00514642">
        <w:rPr>
          <w:sz w:val="20"/>
          <w:szCs w:val="20"/>
        </w:rPr>
        <w:t>/</w:t>
      </w:r>
      <w:r w:rsidR="009C6A7C">
        <w:rPr>
          <w:sz w:val="20"/>
          <w:szCs w:val="20"/>
        </w:rPr>
        <w:t>dogreva</w:t>
      </w:r>
      <w:r w:rsidR="009C6A7C" w:rsidRPr="00514642">
        <w:rPr>
          <w:sz w:val="20"/>
          <w:szCs w:val="20"/>
        </w:rPr>
        <w:t xml:space="preserve"> </w:t>
      </w:r>
      <w:r w:rsidR="009C6A7C">
        <w:rPr>
          <w:sz w:val="20"/>
          <w:szCs w:val="20"/>
        </w:rPr>
        <w:t>sanitarna</w:t>
      </w:r>
      <w:r w:rsidR="009C6A7C" w:rsidRPr="00514642">
        <w:rPr>
          <w:sz w:val="20"/>
          <w:szCs w:val="20"/>
        </w:rPr>
        <w:t xml:space="preserve"> </w:t>
      </w:r>
      <w:r w:rsidR="009C6A7C">
        <w:rPr>
          <w:sz w:val="20"/>
          <w:szCs w:val="20"/>
        </w:rPr>
        <w:t>voda</w:t>
      </w:r>
      <w:r w:rsidR="009C6A7C" w:rsidRPr="00514642">
        <w:rPr>
          <w:sz w:val="20"/>
          <w:szCs w:val="20"/>
        </w:rPr>
        <w:t xml:space="preserve"> </w:t>
      </w:r>
      <w:r w:rsidR="009C6A7C">
        <w:rPr>
          <w:sz w:val="20"/>
          <w:szCs w:val="20"/>
        </w:rPr>
        <w:t>sa</w:t>
      </w:r>
      <w:r w:rsidR="009C6A7C" w:rsidRPr="00514642">
        <w:rPr>
          <w:sz w:val="20"/>
          <w:szCs w:val="20"/>
        </w:rPr>
        <w:t xml:space="preserve"> 40 </w:t>
      </w:r>
      <w:r w:rsidR="009C6A7C">
        <w:rPr>
          <w:sz w:val="20"/>
          <w:szCs w:val="20"/>
        </w:rPr>
        <w:t>solarnih</w:t>
      </w:r>
      <w:r w:rsidR="009C6A7C" w:rsidRPr="00514642">
        <w:rPr>
          <w:sz w:val="20"/>
          <w:szCs w:val="20"/>
        </w:rPr>
        <w:t xml:space="preserve"> </w:t>
      </w:r>
      <w:r w:rsidR="009C6A7C">
        <w:rPr>
          <w:sz w:val="20"/>
          <w:szCs w:val="20"/>
        </w:rPr>
        <w:t>kolektora</w:t>
      </w:r>
      <w:r w:rsidR="009C6A7C" w:rsidRPr="00514642">
        <w:rPr>
          <w:sz w:val="20"/>
          <w:szCs w:val="20"/>
        </w:rPr>
        <w:t xml:space="preserve">, </w:t>
      </w:r>
      <w:r w:rsidR="009C6A7C">
        <w:rPr>
          <w:sz w:val="20"/>
          <w:szCs w:val="20"/>
        </w:rPr>
        <w:t>odnosno</w:t>
      </w:r>
      <w:r w:rsidR="009C6A7C" w:rsidRPr="00514642">
        <w:rPr>
          <w:sz w:val="20"/>
          <w:szCs w:val="20"/>
        </w:rPr>
        <w:t xml:space="preserve"> </w:t>
      </w:r>
      <w:r w:rsidR="009C6A7C">
        <w:rPr>
          <w:sz w:val="20"/>
          <w:szCs w:val="20"/>
        </w:rPr>
        <w:t>snaga</w:t>
      </w:r>
      <w:r w:rsidR="009C6A7C" w:rsidRPr="00514642">
        <w:rPr>
          <w:sz w:val="20"/>
          <w:szCs w:val="20"/>
        </w:rPr>
        <w:t xml:space="preserve"> 44 </w:t>
      </w:r>
      <w:r w:rsidR="009C6A7C">
        <w:rPr>
          <w:sz w:val="20"/>
          <w:szCs w:val="20"/>
        </w:rPr>
        <w:t>kW</w:t>
      </w:r>
      <w:r w:rsidR="009C6A7C" w:rsidRPr="00514642">
        <w:rPr>
          <w:sz w:val="20"/>
          <w:szCs w:val="20"/>
        </w:rPr>
        <w:t xml:space="preserve">, </w:t>
      </w:r>
      <w:r w:rsidR="009C6A7C">
        <w:rPr>
          <w:sz w:val="20"/>
          <w:szCs w:val="20"/>
        </w:rPr>
        <w:t>koja</w:t>
      </w:r>
      <w:r w:rsidR="009C6A7C" w:rsidRPr="00514642">
        <w:rPr>
          <w:sz w:val="20"/>
          <w:szCs w:val="20"/>
        </w:rPr>
        <w:t xml:space="preserve"> </w:t>
      </w:r>
      <w:r w:rsidR="009C6A7C">
        <w:rPr>
          <w:sz w:val="20"/>
          <w:szCs w:val="20"/>
        </w:rPr>
        <w:t>je</w:t>
      </w:r>
      <w:r w:rsidR="009C6A7C" w:rsidRPr="00514642">
        <w:rPr>
          <w:sz w:val="20"/>
          <w:szCs w:val="20"/>
        </w:rPr>
        <w:t xml:space="preserve"> </w:t>
      </w:r>
      <w:r w:rsidR="009C6A7C">
        <w:rPr>
          <w:sz w:val="20"/>
          <w:szCs w:val="20"/>
        </w:rPr>
        <w:t>povezana</w:t>
      </w:r>
      <w:r w:rsidR="009C6A7C" w:rsidRPr="00514642">
        <w:rPr>
          <w:sz w:val="20"/>
          <w:szCs w:val="20"/>
        </w:rPr>
        <w:t xml:space="preserve"> </w:t>
      </w:r>
      <w:r w:rsidR="009C6A7C">
        <w:rPr>
          <w:sz w:val="20"/>
          <w:szCs w:val="20"/>
        </w:rPr>
        <w:t>na</w:t>
      </w:r>
      <w:r w:rsidR="009C6A7C" w:rsidRPr="00514642">
        <w:rPr>
          <w:sz w:val="20"/>
          <w:szCs w:val="20"/>
        </w:rPr>
        <w:t xml:space="preserve"> </w:t>
      </w:r>
      <w:r w:rsidR="009C6A7C">
        <w:rPr>
          <w:sz w:val="20"/>
          <w:szCs w:val="20"/>
        </w:rPr>
        <w:t>postoje</w:t>
      </w:r>
      <w:r w:rsidR="009C6A7C" w:rsidRPr="00514642">
        <w:rPr>
          <w:sz w:val="20"/>
          <w:szCs w:val="20"/>
        </w:rPr>
        <w:t>ć</w:t>
      </w:r>
      <w:r w:rsidR="009C6A7C">
        <w:rPr>
          <w:sz w:val="20"/>
          <w:szCs w:val="20"/>
        </w:rPr>
        <w:t>i</w:t>
      </w:r>
      <w:r w:rsidR="009C6A7C" w:rsidRPr="00514642">
        <w:rPr>
          <w:sz w:val="20"/>
          <w:szCs w:val="20"/>
        </w:rPr>
        <w:t xml:space="preserve"> </w:t>
      </w:r>
      <w:r w:rsidR="009C6A7C">
        <w:rPr>
          <w:sz w:val="20"/>
          <w:szCs w:val="20"/>
        </w:rPr>
        <w:t>centralni</w:t>
      </w:r>
      <w:r w:rsidR="009C6A7C" w:rsidRPr="00514642">
        <w:rPr>
          <w:sz w:val="20"/>
          <w:szCs w:val="20"/>
        </w:rPr>
        <w:t xml:space="preserve"> </w:t>
      </w:r>
      <w:r w:rsidR="009C6A7C">
        <w:rPr>
          <w:sz w:val="20"/>
          <w:szCs w:val="20"/>
        </w:rPr>
        <w:t>razvod</w:t>
      </w:r>
      <w:r w:rsidR="009C6A7C" w:rsidRPr="00514642">
        <w:rPr>
          <w:sz w:val="20"/>
          <w:szCs w:val="20"/>
        </w:rPr>
        <w:t xml:space="preserve"> </w:t>
      </w:r>
      <w:r w:rsidR="009C6A7C">
        <w:rPr>
          <w:sz w:val="20"/>
          <w:szCs w:val="20"/>
        </w:rPr>
        <w:t>tople</w:t>
      </w:r>
      <w:r w:rsidR="009C6A7C" w:rsidRPr="00514642">
        <w:rPr>
          <w:sz w:val="20"/>
          <w:szCs w:val="20"/>
        </w:rPr>
        <w:t xml:space="preserve"> </w:t>
      </w:r>
      <w:r w:rsidR="009C6A7C">
        <w:rPr>
          <w:sz w:val="20"/>
          <w:szCs w:val="20"/>
        </w:rPr>
        <w:t>vode</w:t>
      </w:r>
      <w:r w:rsidR="009C6A7C" w:rsidRPr="00514642">
        <w:rPr>
          <w:sz w:val="20"/>
          <w:szCs w:val="20"/>
        </w:rPr>
        <w:t xml:space="preserve">, </w:t>
      </w:r>
      <w:r w:rsidR="009C6A7C">
        <w:rPr>
          <w:sz w:val="20"/>
          <w:szCs w:val="20"/>
        </w:rPr>
        <w:t>u</w:t>
      </w:r>
      <w:r w:rsidR="009C6A7C" w:rsidRPr="00514642">
        <w:rPr>
          <w:sz w:val="20"/>
          <w:szCs w:val="20"/>
        </w:rPr>
        <w:t xml:space="preserve"> </w:t>
      </w:r>
      <w:r w:rsidR="009C6A7C">
        <w:rPr>
          <w:sz w:val="20"/>
          <w:szCs w:val="20"/>
        </w:rPr>
        <w:t>kome</w:t>
      </w:r>
      <w:r w:rsidR="009C6A7C" w:rsidRPr="00514642">
        <w:rPr>
          <w:sz w:val="20"/>
          <w:szCs w:val="20"/>
        </w:rPr>
        <w:t xml:space="preserve"> </w:t>
      </w:r>
      <w:r w:rsidR="009C6A7C">
        <w:rPr>
          <w:sz w:val="20"/>
          <w:szCs w:val="20"/>
        </w:rPr>
        <w:t>se</w:t>
      </w:r>
      <w:r w:rsidR="009C6A7C" w:rsidRPr="00514642">
        <w:rPr>
          <w:sz w:val="20"/>
          <w:szCs w:val="20"/>
        </w:rPr>
        <w:t xml:space="preserve"> </w:t>
      </w:r>
      <w:r w:rsidR="009C6A7C">
        <w:rPr>
          <w:sz w:val="20"/>
          <w:szCs w:val="20"/>
        </w:rPr>
        <w:t>zagrevanje</w:t>
      </w:r>
      <w:r w:rsidR="009C6A7C" w:rsidRPr="00514642">
        <w:rPr>
          <w:sz w:val="20"/>
          <w:szCs w:val="20"/>
        </w:rPr>
        <w:t xml:space="preserve"> </w:t>
      </w:r>
      <w:r w:rsidR="009C6A7C">
        <w:rPr>
          <w:sz w:val="20"/>
          <w:szCs w:val="20"/>
        </w:rPr>
        <w:t>vr</w:t>
      </w:r>
      <w:r w:rsidR="009C6A7C" w:rsidRPr="00514642">
        <w:rPr>
          <w:sz w:val="20"/>
          <w:szCs w:val="20"/>
        </w:rPr>
        <w:t>š</w:t>
      </w:r>
      <w:r w:rsidR="009C6A7C">
        <w:rPr>
          <w:sz w:val="20"/>
          <w:szCs w:val="20"/>
        </w:rPr>
        <w:t>i</w:t>
      </w:r>
      <w:r w:rsidR="009C6A7C" w:rsidRPr="00514642">
        <w:rPr>
          <w:sz w:val="20"/>
          <w:szCs w:val="20"/>
        </w:rPr>
        <w:t xml:space="preserve"> </w:t>
      </w:r>
      <w:r w:rsidR="009C6A7C">
        <w:rPr>
          <w:sz w:val="20"/>
          <w:szCs w:val="20"/>
        </w:rPr>
        <w:t>preko</w:t>
      </w:r>
      <w:r w:rsidR="009C6A7C" w:rsidRPr="00514642">
        <w:rPr>
          <w:sz w:val="20"/>
          <w:szCs w:val="20"/>
        </w:rPr>
        <w:t xml:space="preserve"> </w:t>
      </w:r>
      <w:r w:rsidR="009C6A7C">
        <w:rPr>
          <w:sz w:val="20"/>
          <w:szCs w:val="20"/>
        </w:rPr>
        <w:t>gasnog</w:t>
      </w:r>
      <w:r w:rsidR="009C6A7C" w:rsidRPr="00514642">
        <w:rPr>
          <w:sz w:val="20"/>
          <w:szCs w:val="20"/>
        </w:rPr>
        <w:t xml:space="preserve"> </w:t>
      </w:r>
      <w:r w:rsidR="009C6A7C">
        <w:rPr>
          <w:sz w:val="20"/>
          <w:szCs w:val="20"/>
        </w:rPr>
        <w:t>kotla</w:t>
      </w:r>
      <w:r w:rsidR="009C6A7C" w:rsidRPr="00514642">
        <w:rPr>
          <w:sz w:val="20"/>
          <w:szCs w:val="20"/>
        </w:rPr>
        <w:t>.</w:t>
      </w:r>
    </w:p>
    <w:p w:rsidR="00162F02" w:rsidRPr="00514642" w:rsidRDefault="00162F02" w:rsidP="009C6A7C">
      <w:pPr>
        <w:jc w:val="both"/>
        <w:rPr>
          <w:sz w:val="20"/>
          <w:szCs w:val="20"/>
          <w:lang w:val="de-DE"/>
        </w:rPr>
      </w:pPr>
      <w:r w:rsidRPr="00514642">
        <w:rPr>
          <w:sz w:val="20"/>
          <w:szCs w:val="20"/>
          <w:lang w:val="de-DE"/>
        </w:rPr>
        <w:t>Solarna instalacija</w:t>
      </w:r>
      <w:r w:rsidR="007B50BB" w:rsidRPr="00514642">
        <w:rPr>
          <w:sz w:val="20"/>
          <w:szCs w:val="20"/>
          <w:lang w:val="de-DE"/>
        </w:rPr>
        <w:t xml:space="preserve"> za grejanje sanitarne vode je predviđena za automatski rad. Takođe je predviđen softver kojim je moguće očitavanje/praćenje efekata postrojenja sa udaljenog računara</w:t>
      </w:r>
      <w:r w:rsidR="002803E2" w:rsidRPr="00514642">
        <w:rPr>
          <w:sz w:val="20"/>
          <w:szCs w:val="20"/>
          <w:lang w:val="de-DE"/>
        </w:rPr>
        <w:t>.</w:t>
      </w:r>
    </w:p>
    <w:p w:rsidR="00DD3463" w:rsidRPr="00514642" w:rsidRDefault="00DD3463" w:rsidP="009C6A7C">
      <w:pPr>
        <w:jc w:val="both"/>
        <w:rPr>
          <w:sz w:val="20"/>
          <w:szCs w:val="20"/>
          <w:lang w:val="de-DE"/>
        </w:rPr>
      </w:pPr>
      <w:r w:rsidRPr="00514642">
        <w:rPr>
          <w:sz w:val="20"/>
          <w:szCs w:val="20"/>
          <w:lang w:val="de-DE"/>
        </w:rPr>
        <w:t>Projekat je izrađen na osnovu:</w:t>
      </w:r>
    </w:p>
    <w:p w:rsidR="00DD3463" w:rsidRDefault="00DD3463" w:rsidP="00DD3463">
      <w:pPr>
        <w:numPr>
          <w:ilvl w:val="0"/>
          <w:numId w:val="3"/>
        </w:numPr>
        <w:jc w:val="both"/>
        <w:rPr>
          <w:sz w:val="20"/>
          <w:szCs w:val="20"/>
        </w:rPr>
      </w:pPr>
      <w:r>
        <w:rPr>
          <w:sz w:val="20"/>
          <w:szCs w:val="20"/>
        </w:rPr>
        <w:t>Projektnog zadatka,</w:t>
      </w:r>
    </w:p>
    <w:p w:rsidR="00DD3463" w:rsidRDefault="00DD3463" w:rsidP="00DD3463">
      <w:pPr>
        <w:numPr>
          <w:ilvl w:val="0"/>
          <w:numId w:val="3"/>
        </w:numPr>
        <w:jc w:val="both"/>
        <w:rPr>
          <w:sz w:val="20"/>
          <w:szCs w:val="20"/>
        </w:rPr>
      </w:pPr>
      <w:r>
        <w:rPr>
          <w:sz w:val="20"/>
          <w:szCs w:val="20"/>
        </w:rPr>
        <w:t>zahteva korisnika postrojenja,</w:t>
      </w:r>
    </w:p>
    <w:p w:rsidR="00DD3463" w:rsidRDefault="00DD3463" w:rsidP="00DD3463">
      <w:pPr>
        <w:numPr>
          <w:ilvl w:val="0"/>
          <w:numId w:val="3"/>
        </w:numPr>
        <w:jc w:val="both"/>
        <w:rPr>
          <w:sz w:val="20"/>
          <w:szCs w:val="20"/>
        </w:rPr>
      </w:pPr>
      <w:r>
        <w:rPr>
          <w:sz w:val="20"/>
          <w:szCs w:val="20"/>
        </w:rPr>
        <w:t>podataka dobijenih od strane investitora i korisnika,</w:t>
      </w:r>
    </w:p>
    <w:p w:rsidR="00DD3463" w:rsidRDefault="00DD3463" w:rsidP="00DD3463">
      <w:pPr>
        <w:numPr>
          <w:ilvl w:val="0"/>
          <w:numId w:val="3"/>
        </w:numPr>
        <w:jc w:val="both"/>
        <w:rPr>
          <w:sz w:val="20"/>
          <w:szCs w:val="20"/>
        </w:rPr>
      </w:pPr>
      <w:r>
        <w:rPr>
          <w:sz w:val="20"/>
          <w:szCs w:val="20"/>
        </w:rPr>
        <w:t>tehničkih podataka proizvođača korišćenih tehnoloških postrojenja,</w:t>
      </w:r>
    </w:p>
    <w:p w:rsidR="00DD3463" w:rsidRDefault="00DD3463" w:rsidP="00DD3463">
      <w:pPr>
        <w:numPr>
          <w:ilvl w:val="0"/>
          <w:numId w:val="3"/>
        </w:numPr>
        <w:jc w:val="both"/>
        <w:rPr>
          <w:sz w:val="20"/>
          <w:szCs w:val="20"/>
        </w:rPr>
      </w:pPr>
      <w:r>
        <w:rPr>
          <w:sz w:val="20"/>
          <w:szCs w:val="20"/>
        </w:rPr>
        <w:t>glavnog projekta vodovoda i kanalizacije i</w:t>
      </w:r>
    </w:p>
    <w:p w:rsidR="00DD3463" w:rsidRDefault="00D5477A" w:rsidP="00DD3463">
      <w:pPr>
        <w:numPr>
          <w:ilvl w:val="0"/>
          <w:numId w:val="3"/>
        </w:numPr>
        <w:jc w:val="both"/>
        <w:rPr>
          <w:sz w:val="20"/>
          <w:szCs w:val="20"/>
        </w:rPr>
      </w:pPr>
      <w:r>
        <w:rPr>
          <w:sz w:val="20"/>
          <w:szCs w:val="20"/>
        </w:rPr>
        <w:t>glavnog građevinskog projekta.</w:t>
      </w:r>
    </w:p>
    <w:p w:rsidR="00D5477A" w:rsidRDefault="007D0811" w:rsidP="00D5477A">
      <w:pPr>
        <w:jc w:val="both"/>
        <w:rPr>
          <w:color w:val="000000"/>
          <w:sz w:val="20"/>
          <w:szCs w:val="20"/>
        </w:rPr>
      </w:pPr>
      <w:r w:rsidRPr="00273991">
        <w:rPr>
          <w:color w:val="000000"/>
          <w:sz w:val="20"/>
          <w:szCs w:val="20"/>
        </w:rPr>
        <w:t>U prolećnim, letnjim i jesenjim uslovima, moguće je intenzivnije korišćenje sunčeve energije kao osnovne energije za grejanje sanitarne vode, a u lošijim insolacionim uslovima (jesen, zima) dogrevanje sanitarne vode vrši se putem postojećeg sistema.</w:t>
      </w:r>
    </w:p>
    <w:p w:rsidR="002803E2" w:rsidRPr="00273991" w:rsidRDefault="002803E2" w:rsidP="002803E2">
      <w:pPr>
        <w:jc w:val="both"/>
        <w:rPr>
          <w:sz w:val="20"/>
          <w:szCs w:val="20"/>
        </w:rPr>
      </w:pPr>
      <w:r w:rsidRPr="00273991">
        <w:rPr>
          <w:color w:val="000000"/>
          <w:sz w:val="20"/>
          <w:szCs w:val="20"/>
        </w:rPr>
        <w:t>Grejanje sunčevom energijom omogućuje solarna instalacija sa 40 kolektora tipa FCC-1S, proizvođača "BOSCH" - Nemačka</w:t>
      </w:r>
      <w:r w:rsidRPr="00273991">
        <w:rPr>
          <w:sz w:val="20"/>
          <w:szCs w:val="20"/>
        </w:rPr>
        <w:t>, ukupne bruto/neto prijemne površine od 83,6/76,8 m</w:t>
      </w:r>
      <w:r w:rsidRPr="00273991">
        <w:rPr>
          <w:sz w:val="20"/>
          <w:szCs w:val="20"/>
          <w:vertAlign w:val="superscript"/>
        </w:rPr>
        <w:t>2</w:t>
      </w:r>
      <w:r w:rsidRPr="00273991">
        <w:rPr>
          <w:sz w:val="20"/>
          <w:szCs w:val="20"/>
        </w:rPr>
        <w:t xml:space="preserve">. Solarni kolektori su postavljeni </w:t>
      </w:r>
      <w:r w:rsidRPr="00273991">
        <w:rPr>
          <w:color w:val="000000"/>
          <w:sz w:val="20"/>
          <w:szCs w:val="20"/>
        </w:rPr>
        <w:t xml:space="preserve">na </w:t>
      </w:r>
      <w:r w:rsidRPr="00273991">
        <w:rPr>
          <w:sz w:val="20"/>
          <w:szCs w:val="20"/>
        </w:rPr>
        <w:t>krovištu objekta Doma. Postavljaju se u dva reda, pri čemu su po deset kolektora vezani u baterije, 2 x 20</w:t>
      </w:r>
      <w:r w:rsidR="006A7C66">
        <w:rPr>
          <w:sz w:val="20"/>
          <w:szCs w:val="20"/>
        </w:rPr>
        <w:t xml:space="preserve"> </w:t>
      </w:r>
      <w:r w:rsidRPr="00273991">
        <w:rPr>
          <w:sz w:val="20"/>
          <w:szCs w:val="20"/>
        </w:rPr>
        <w:t xml:space="preserve">(2 x 10 kolektora u redu). </w:t>
      </w:r>
      <w:r w:rsidRPr="00273991">
        <w:rPr>
          <w:sz w:val="20"/>
          <w:szCs w:val="20"/>
          <w:lang w:val="pl-PL"/>
        </w:rPr>
        <w:t>Kole</w:t>
      </w:r>
      <w:r w:rsidRPr="00273991">
        <w:rPr>
          <w:spacing w:val="-1"/>
          <w:sz w:val="20"/>
          <w:szCs w:val="20"/>
          <w:lang w:val="pl-PL"/>
        </w:rPr>
        <w:t>k</w:t>
      </w:r>
      <w:r w:rsidRPr="00273991">
        <w:rPr>
          <w:sz w:val="20"/>
          <w:szCs w:val="20"/>
          <w:lang w:val="pl-PL"/>
        </w:rPr>
        <w:t>torske baterije</w:t>
      </w:r>
      <w:r w:rsidRPr="00273991">
        <w:rPr>
          <w:sz w:val="20"/>
          <w:szCs w:val="20"/>
          <w:lang w:val="sr-Latn-CS"/>
        </w:rPr>
        <w:t xml:space="preserve"> </w:t>
      </w:r>
      <w:r w:rsidRPr="00273991">
        <w:rPr>
          <w:sz w:val="20"/>
          <w:szCs w:val="20"/>
          <w:lang w:val="pl-PL"/>
        </w:rPr>
        <w:t>su povezane u sistem - paralelno (sistem Ti</w:t>
      </w:r>
      <w:r w:rsidRPr="00273991">
        <w:rPr>
          <w:spacing w:val="1"/>
          <w:sz w:val="20"/>
          <w:szCs w:val="20"/>
          <w:lang w:val="pl-PL"/>
        </w:rPr>
        <w:t>c</w:t>
      </w:r>
      <w:r w:rsidRPr="00273991">
        <w:rPr>
          <w:sz w:val="20"/>
          <w:szCs w:val="20"/>
          <w:lang w:val="pl-PL"/>
        </w:rPr>
        <w:t>hel</w:t>
      </w:r>
      <w:r w:rsidRPr="00273991">
        <w:rPr>
          <w:spacing w:val="-2"/>
          <w:sz w:val="20"/>
          <w:szCs w:val="20"/>
          <w:lang w:val="pl-PL"/>
        </w:rPr>
        <w:t>m</w:t>
      </w:r>
      <w:r w:rsidRPr="00273991">
        <w:rPr>
          <w:sz w:val="20"/>
          <w:szCs w:val="20"/>
          <w:lang w:val="pl-PL"/>
        </w:rPr>
        <w:t>an). Solarni medij</w:t>
      </w:r>
      <w:r w:rsidRPr="00273991">
        <w:rPr>
          <w:spacing w:val="2"/>
          <w:sz w:val="20"/>
          <w:szCs w:val="20"/>
          <w:lang w:val="pl-PL"/>
        </w:rPr>
        <w:t>u</w:t>
      </w:r>
      <w:r w:rsidRPr="00273991">
        <w:rPr>
          <w:sz w:val="20"/>
          <w:szCs w:val="20"/>
          <w:lang w:val="pl-PL"/>
        </w:rPr>
        <w:t xml:space="preserve">m u primarnom - solarnom krugu je </w:t>
      </w:r>
      <w:r w:rsidRPr="00273991">
        <w:rPr>
          <w:sz w:val="20"/>
          <w:szCs w:val="20"/>
        </w:rPr>
        <w:t xml:space="preserve">Propylene glycol "L" 30% </w:t>
      </w:r>
      <w:r w:rsidRPr="00273991">
        <w:rPr>
          <w:sz w:val="20"/>
          <w:szCs w:val="20"/>
          <w:lang w:val="pl-PL"/>
        </w:rPr>
        <w:t>–</w:t>
      </w:r>
      <w:r w:rsidRPr="00273991">
        <w:rPr>
          <w:spacing w:val="14"/>
          <w:sz w:val="20"/>
          <w:szCs w:val="20"/>
          <w:lang w:val="pl-PL"/>
        </w:rPr>
        <w:t xml:space="preserve"> </w:t>
      </w:r>
      <w:r w:rsidRPr="00273991">
        <w:rPr>
          <w:sz w:val="20"/>
          <w:szCs w:val="20"/>
          <w:lang w:val="pl-PL"/>
        </w:rPr>
        <w:t>tečnost sa niskom tačkom zamrzavanja</w:t>
      </w:r>
      <w:r w:rsidRPr="00273991">
        <w:rPr>
          <w:spacing w:val="14"/>
          <w:sz w:val="20"/>
          <w:szCs w:val="20"/>
          <w:lang w:val="pl-PL"/>
        </w:rPr>
        <w:t>.</w:t>
      </w:r>
      <w:r w:rsidRPr="00273991">
        <w:rPr>
          <w:sz w:val="20"/>
          <w:szCs w:val="20"/>
        </w:rPr>
        <w:t xml:space="preserve"> </w:t>
      </w:r>
    </w:p>
    <w:p w:rsidR="002803E2" w:rsidRPr="00273991" w:rsidRDefault="002803E2" w:rsidP="002803E2">
      <w:pPr>
        <w:jc w:val="both"/>
        <w:rPr>
          <w:color w:val="FF0000"/>
          <w:sz w:val="20"/>
          <w:szCs w:val="20"/>
        </w:rPr>
      </w:pPr>
      <w:r w:rsidRPr="00273991">
        <w:rPr>
          <w:sz w:val="20"/>
          <w:szCs w:val="20"/>
        </w:rPr>
        <w:t xml:space="preserve">Noseća konstrukcija kolektora je ankerisana za noseću krovnu konstrukcije i hidroizolovana. </w:t>
      </w:r>
    </w:p>
    <w:p w:rsidR="002803E2" w:rsidRPr="00273991" w:rsidRDefault="002803E2" w:rsidP="002803E2">
      <w:pPr>
        <w:jc w:val="both"/>
        <w:rPr>
          <w:sz w:val="20"/>
          <w:szCs w:val="20"/>
        </w:rPr>
      </w:pPr>
      <w:r w:rsidRPr="00273991">
        <w:rPr>
          <w:sz w:val="20"/>
          <w:szCs w:val="20"/>
        </w:rPr>
        <w:t xml:space="preserve">Nagib PSE je </w:t>
      </w:r>
      <w:r w:rsidRPr="00273991">
        <w:rPr>
          <w:color w:val="000000"/>
          <w:sz w:val="20"/>
          <w:szCs w:val="20"/>
        </w:rPr>
        <w:t>30</w:t>
      </w:r>
      <w:r w:rsidRPr="00273991">
        <w:rPr>
          <w:sz w:val="20"/>
          <w:szCs w:val="20"/>
          <w:vertAlign w:val="superscript"/>
        </w:rPr>
        <w:t>0</w:t>
      </w:r>
      <w:r w:rsidRPr="00273991">
        <w:rPr>
          <w:sz w:val="20"/>
          <w:szCs w:val="20"/>
        </w:rPr>
        <w:t xml:space="preserve"> - koji je obezbeđen tipskom podkonstrukcijom kolektora - proizvođača </w:t>
      </w:r>
      <w:r w:rsidRPr="00273991">
        <w:rPr>
          <w:color w:val="000000"/>
          <w:sz w:val="20"/>
          <w:szCs w:val="20"/>
        </w:rPr>
        <w:t>"BOSCH" - Nemačka</w:t>
      </w:r>
      <w:r w:rsidRPr="00273991">
        <w:rPr>
          <w:sz w:val="20"/>
          <w:szCs w:val="20"/>
        </w:rPr>
        <w:t xml:space="preserve">.   </w:t>
      </w:r>
    </w:p>
    <w:p w:rsidR="002803E2" w:rsidRPr="00273991" w:rsidRDefault="002803E2" w:rsidP="002803E2">
      <w:pPr>
        <w:jc w:val="both"/>
        <w:rPr>
          <w:color w:val="000000"/>
          <w:sz w:val="20"/>
          <w:szCs w:val="20"/>
        </w:rPr>
      </w:pPr>
      <w:r w:rsidRPr="00273991">
        <w:rPr>
          <w:sz w:val="20"/>
          <w:szCs w:val="20"/>
        </w:rPr>
        <w:t xml:space="preserve">Tipska noseća podkonstrukcija kolektora je povezana sa osnovnom </w:t>
      </w:r>
      <w:r w:rsidRPr="00273991">
        <w:rPr>
          <w:color w:val="000000"/>
          <w:sz w:val="20"/>
          <w:szCs w:val="20"/>
        </w:rPr>
        <w:t>krovnom</w:t>
      </w:r>
      <w:r w:rsidRPr="00273991">
        <w:rPr>
          <w:color w:val="FF0000"/>
          <w:sz w:val="20"/>
          <w:szCs w:val="20"/>
        </w:rPr>
        <w:t xml:space="preserve"> </w:t>
      </w:r>
      <w:r w:rsidRPr="00273991">
        <w:rPr>
          <w:sz w:val="20"/>
          <w:szCs w:val="20"/>
        </w:rPr>
        <w:t xml:space="preserve">nosećom konstrukcijom/pločom (prema Glavnom građevinskom projektu). Orijentacija kolektora je </w:t>
      </w:r>
      <w:r w:rsidRPr="00273991">
        <w:rPr>
          <w:color w:val="000000"/>
          <w:sz w:val="20"/>
          <w:szCs w:val="20"/>
        </w:rPr>
        <w:t>jugozapadna, odstupanje od juga je 31</w:t>
      </w:r>
      <w:r w:rsidRPr="00273991">
        <w:rPr>
          <w:sz w:val="20"/>
          <w:szCs w:val="20"/>
          <w:vertAlign w:val="superscript"/>
        </w:rPr>
        <w:t>0</w:t>
      </w:r>
      <w:r w:rsidRPr="00273991">
        <w:rPr>
          <w:color w:val="000000"/>
          <w:sz w:val="20"/>
          <w:szCs w:val="20"/>
        </w:rPr>
        <w:t>.</w:t>
      </w:r>
    </w:p>
    <w:p w:rsidR="007D0811" w:rsidRPr="00514642" w:rsidRDefault="002803E2" w:rsidP="00D5477A">
      <w:pPr>
        <w:jc w:val="both"/>
        <w:rPr>
          <w:sz w:val="20"/>
          <w:szCs w:val="20"/>
          <w:lang w:val="pl-PL"/>
        </w:rPr>
      </w:pPr>
      <w:r w:rsidRPr="00273991">
        <w:rPr>
          <w:sz w:val="20"/>
          <w:szCs w:val="20"/>
        </w:rPr>
        <w:t>Regulacija rada solarne instalacije je automatizovana kako ne bi došlo do kontra efekata u procesu grejanja vode.</w:t>
      </w:r>
      <w:r w:rsidRPr="00273991">
        <w:rPr>
          <w:color w:val="000000"/>
          <w:sz w:val="20"/>
          <w:szCs w:val="20"/>
          <w:lang w:val="pl-PL"/>
        </w:rPr>
        <w:t xml:space="preserve"> Za</w:t>
      </w:r>
      <w:r w:rsidRPr="00273991">
        <w:rPr>
          <w:color w:val="000000"/>
          <w:spacing w:val="5"/>
          <w:sz w:val="20"/>
          <w:szCs w:val="20"/>
          <w:lang w:val="pl-PL"/>
        </w:rPr>
        <w:t xml:space="preserve"> upravljanje radom solarnih kolektora predviđen je upravljački sistem, reg</w:t>
      </w:r>
      <w:r w:rsidRPr="00273991">
        <w:rPr>
          <w:color w:val="000000"/>
          <w:sz w:val="20"/>
          <w:szCs w:val="20"/>
          <w:lang w:val="pl-PL"/>
        </w:rPr>
        <w:t>ulator tipa DUEL DX 4232</w:t>
      </w:r>
      <w:r w:rsidRPr="00514642">
        <w:rPr>
          <w:sz w:val="20"/>
          <w:szCs w:val="20"/>
          <w:lang w:val="pl-PL"/>
        </w:rPr>
        <w:t xml:space="preserve"> [7].</w:t>
      </w:r>
    </w:p>
    <w:p w:rsidR="0026331E" w:rsidRDefault="0026331E" w:rsidP="0026331E">
      <w:pPr>
        <w:jc w:val="both"/>
        <w:rPr>
          <w:color w:val="FF0000"/>
          <w:sz w:val="20"/>
          <w:szCs w:val="20"/>
        </w:rPr>
      </w:pPr>
    </w:p>
    <w:p w:rsidR="0026331E" w:rsidRPr="00514642" w:rsidRDefault="0026331E" w:rsidP="0026331E">
      <w:pPr>
        <w:jc w:val="both"/>
        <w:rPr>
          <w:b/>
          <w:sz w:val="22"/>
          <w:szCs w:val="22"/>
        </w:rPr>
      </w:pPr>
      <w:r w:rsidRPr="00514642">
        <w:rPr>
          <w:b/>
          <w:sz w:val="22"/>
          <w:szCs w:val="22"/>
        </w:rPr>
        <w:t xml:space="preserve">7.2. </w:t>
      </w:r>
      <w:r w:rsidRPr="0026331E">
        <w:rPr>
          <w:b/>
          <w:sz w:val="22"/>
          <w:szCs w:val="22"/>
        </w:rPr>
        <w:t>Tehno</w:t>
      </w:r>
      <w:r w:rsidRPr="00514642">
        <w:rPr>
          <w:b/>
          <w:sz w:val="22"/>
          <w:szCs w:val="22"/>
        </w:rPr>
        <w:t>-</w:t>
      </w:r>
      <w:r w:rsidRPr="0026331E">
        <w:rPr>
          <w:b/>
          <w:sz w:val="22"/>
          <w:szCs w:val="22"/>
        </w:rPr>
        <w:t>ekonomska</w:t>
      </w:r>
      <w:r w:rsidRPr="00514642">
        <w:rPr>
          <w:b/>
          <w:sz w:val="22"/>
          <w:szCs w:val="22"/>
        </w:rPr>
        <w:t xml:space="preserve"> </w:t>
      </w:r>
      <w:r w:rsidRPr="0026331E">
        <w:rPr>
          <w:b/>
          <w:sz w:val="22"/>
          <w:szCs w:val="22"/>
        </w:rPr>
        <w:t>analiza</w:t>
      </w:r>
    </w:p>
    <w:p w:rsidR="0026331E" w:rsidRPr="00514642" w:rsidRDefault="0026331E" w:rsidP="0026331E">
      <w:pPr>
        <w:rPr>
          <w:i/>
          <w:color w:val="0070C0"/>
          <w:sz w:val="20"/>
        </w:rPr>
      </w:pPr>
    </w:p>
    <w:p w:rsidR="004B5C08" w:rsidRPr="00514642" w:rsidRDefault="004B5C08" w:rsidP="004B5C08">
      <w:pPr>
        <w:jc w:val="both"/>
      </w:pPr>
      <w:r w:rsidRPr="004D27F0">
        <w:rPr>
          <w:sz w:val="20"/>
          <w:szCs w:val="20"/>
        </w:rPr>
        <w:t>Dominantne</w:t>
      </w:r>
      <w:r w:rsidRPr="00514642">
        <w:rPr>
          <w:sz w:val="20"/>
          <w:szCs w:val="20"/>
        </w:rPr>
        <w:t xml:space="preserve"> </w:t>
      </w:r>
      <w:r w:rsidRPr="004D27F0">
        <w:rPr>
          <w:sz w:val="20"/>
          <w:szCs w:val="20"/>
        </w:rPr>
        <w:t>osobine</w:t>
      </w:r>
      <w:r w:rsidRPr="00514642">
        <w:rPr>
          <w:sz w:val="20"/>
          <w:szCs w:val="20"/>
        </w:rPr>
        <w:t xml:space="preserve"> </w:t>
      </w:r>
      <w:r w:rsidRPr="004D27F0">
        <w:rPr>
          <w:sz w:val="20"/>
          <w:szCs w:val="20"/>
        </w:rPr>
        <w:t>sistema</w:t>
      </w:r>
      <w:r w:rsidRPr="00514642">
        <w:rPr>
          <w:sz w:val="20"/>
          <w:szCs w:val="20"/>
        </w:rPr>
        <w:t xml:space="preserve"> </w:t>
      </w:r>
      <w:r w:rsidRPr="004D27F0">
        <w:rPr>
          <w:sz w:val="20"/>
          <w:szCs w:val="20"/>
        </w:rPr>
        <w:t>sa</w:t>
      </w:r>
      <w:r w:rsidRPr="00514642">
        <w:rPr>
          <w:sz w:val="20"/>
          <w:szCs w:val="20"/>
        </w:rPr>
        <w:t xml:space="preserve"> </w:t>
      </w:r>
      <w:r w:rsidRPr="004D27F0">
        <w:rPr>
          <w:sz w:val="20"/>
          <w:szCs w:val="20"/>
        </w:rPr>
        <w:t>stanovi</w:t>
      </w:r>
      <w:r w:rsidRPr="00514642">
        <w:rPr>
          <w:sz w:val="20"/>
          <w:szCs w:val="20"/>
        </w:rPr>
        <w:t>š</w:t>
      </w:r>
      <w:r w:rsidRPr="004D27F0">
        <w:rPr>
          <w:sz w:val="20"/>
          <w:szCs w:val="20"/>
        </w:rPr>
        <w:t>ta</w:t>
      </w:r>
      <w:r w:rsidRPr="00514642">
        <w:rPr>
          <w:sz w:val="20"/>
          <w:szCs w:val="20"/>
        </w:rPr>
        <w:t xml:space="preserve"> </w:t>
      </w:r>
      <w:r w:rsidRPr="004D27F0">
        <w:rPr>
          <w:sz w:val="20"/>
          <w:szCs w:val="20"/>
        </w:rPr>
        <w:t>rentabilnosti</w:t>
      </w:r>
      <w:r w:rsidRPr="00514642">
        <w:rPr>
          <w:sz w:val="20"/>
          <w:szCs w:val="20"/>
        </w:rPr>
        <w:t xml:space="preserve"> </w:t>
      </w:r>
      <w:r w:rsidRPr="004D27F0">
        <w:rPr>
          <w:sz w:val="20"/>
          <w:szCs w:val="20"/>
        </w:rPr>
        <w:t>investicije</w:t>
      </w:r>
      <w:r w:rsidRPr="00514642">
        <w:rPr>
          <w:sz w:val="20"/>
          <w:szCs w:val="20"/>
        </w:rPr>
        <w:t xml:space="preserve"> </w:t>
      </w:r>
      <w:r w:rsidRPr="004D27F0">
        <w:rPr>
          <w:sz w:val="20"/>
          <w:szCs w:val="20"/>
        </w:rPr>
        <w:t>i</w:t>
      </w:r>
      <w:r w:rsidRPr="00514642">
        <w:rPr>
          <w:sz w:val="20"/>
          <w:szCs w:val="20"/>
        </w:rPr>
        <w:t xml:space="preserve"> </w:t>
      </w:r>
      <w:r w:rsidRPr="004D27F0">
        <w:rPr>
          <w:sz w:val="20"/>
          <w:szCs w:val="20"/>
        </w:rPr>
        <w:t>dalje</w:t>
      </w:r>
      <w:r w:rsidRPr="00514642">
        <w:rPr>
          <w:sz w:val="20"/>
          <w:szCs w:val="20"/>
        </w:rPr>
        <w:t xml:space="preserve"> </w:t>
      </w:r>
      <w:r w:rsidRPr="004D27F0">
        <w:rPr>
          <w:sz w:val="20"/>
          <w:szCs w:val="20"/>
        </w:rPr>
        <w:t>eksploatacije</w:t>
      </w:r>
      <w:r w:rsidRPr="00514642">
        <w:rPr>
          <w:sz w:val="20"/>
          <w:szCs w:val="20"/>
        </w:rPr>
        <w:t xml:space="preserve"> </w:t>
      </w:r>
      <w:r w:rsidRPr="004D27F0">
        <w:rPr>
          <w:sz w:val="20"/>
          <w:szCs w:val="20"/>
        </w:rPr>
        <w:t>Solarnog</w:t>
      </w:r>
      <w:r w:rsidRPr="00514642">
        <w:rPr>
          <w:sz w:val="20"/>
          <w:szCs w:val="20"/>
        </w:rPr>
        <w:t xml:space="preserve"> </w:t>
      </w:r>
      <w:r w:rsidRPr="004D27F0">
        <w:rPr>
          <w:sz w:val="20"/>
          <w:szCs w:val="20"/>
        </w:rPr>
        <w:t>postrojenja</w:t>
      </w:r>
      <w:r w:rsidRPr="00514642">
        <w:rPr>
          <w:sz w:val="20"/>
          <w:szCs w:val="20"/>
        </w:rPr>
        <w:t xml:space="preserve"> </w:t>
      </w:r>
      <w:r w:rsidRPr="004D27F0">
        <w:rPr>
          <w:sz w:val="20"/>
          <w:szCs w:val="20"/>
        </w:rPr>
        <w:t>su</w:t>
      </w:r>
      <w:r w:rsidRPr="00514642">
        <w:rPr>
          <w:sz w:val="20"/>
          <w:szCs w:val="20"/>
        </w:rPr>
        <w:t xml:space="preserve"> </w:t>
      </w:r>
      <w:r w:rsidRPr="004D27F0">
        <w:rPr>
          <w:sz w:val="20"/>
          <w:szCs w:val="20"/>
        </w:rPr>
        <w:t>energetska</w:t>
      </w:r>
      <w:r w:rsidRPr="00514642">
        <w:rPr>
          <w:sz w:val="20"/>
          <w:szCs w:val="20"/>
        </w:rPr>
        <w:t xml:space="preserve"> </w:t>
      </w:r>
      <w:r w:rsidRPr="004D27F0">
        <w:rPr>
          <w:sz w:val="20"/>
          <w:szCs w:val="20"/>
        </w:rPr>
        <w:t>efikasnost</w:t>
      </w:r>
      <w:r w:rsidRPr="00514642">
        <w:rPr>
          <w:sz w:val="20"/>
          <w:szCs w:val="20"/>
        </w:rPr>
        <w:t xml:space="preserve"> </w:t>
      </w:r>
      <w:r w:rsidRPr="004D27F0">
        <w:rPr>
          <w:sz w:val="20"/>
          <w:szCs w:val="20"/>
        </w:rPr>
        <w:t>i</w:t>
      </w:r>
      <w:r w:rsidRPr="00514642">
        <w:rPr>
          <w:sz w:val="20"/>
          <w:szCs w:val="20"/>
        </w:rPr>
        <w:t xml:space="preserve"> </w:t>
      </w:r>
      <w:r w:rsidRPr="004D27F0">
        <w:rPr>
          <w:sz w:val="20"/>
          <w:szCs w:val="20"/>
        </w:rPr>
        <w:t>smanjenje</w:t>
      </w:r>
      <w:r w:rsidRPr="00514642">
        <w:rPr>
          <w:sz w:val="20"/>
          <w:szCs w:val="20"/>
        </w:rPr>
        <w:t xml:space="preserve"> </w:t>
      </w:r>
      <w:r w:rsidRPr="004D27F0">
        <w:rPr>
          <w:sz w:val="20"/>
          <w:szCs w:val="20"/>
        </w:rPr>
        <w:t>tro</w:t>
      </w:r>
      <w:r w:rsidRPr="00514642">
        <w:rPr>
          <w:sz w:val="20"/>
          <w:szCs w:val="20"/>
        </w:rPr>
        <w:t>š</w:t>
      </w:r>
      <w:r w:rsidRPr="004D27F0">
        <w:rPr>
          <w:sz w:val="20"/>
          <w:szCs w:val="20"/>
        </w:rPr>
        <w:t>kova</w:t>
      </w:r>
      <w:r w:rsidR="007360AC" w:rsidRPr="00514642">
        <w:rPr>
          <w:sz w:val="20"/>
          <w:szCs w:val="20"/>
        </w:rPr>
        <w:t xml:space="preserve"> [8]</w:t>
      </w:r>
      <w:r w:rsidRPr="00514642">
        <w:t>.</w:t>
      </w:r>
    </w:p>
    <w:p w:rsidR="00F346B0" w:rsidRDefault="00F346B0" w:rsidP="00F346B0">
      <w:pPr>
        <w:jc w:val="both"/>
        <w:rPr>
          <w:color w:val="FF0000"/>
          <w:sz w:val="20"/>
          <w:szCs w:val="20"/>
        </w:rPr>
      </w:pPr>
    </w:p>
    <w:p w:rsidR="00F346B0" w:rsidRPr="00514642" w:rsidRDefault="00F346B0" w:rsidP="00F346B0">
      <w:pPr>
        <w:jc w:val="both"/>
        <w:rPr>
          <w:b/>
          <w:sz w:val="22"/>
          <w:szCs w:val="22"/>
        </w:rPr>
      </w:pPr>
      <w:r w:rsidRPr="00514642">
        <w:rPr>
          <w:b/>
          <w:sz w:val="22"/>
          <w:szCs w:val="22"/>
        </w:rPr>
        <w:t xml:space="preserve">7.2.1. </w:t>
      </w:r>
      <w:r>
        <w:rPr>
          <w:b/>
          <w:sz w:val="22"/>
          <w:szCs w:val="22"/>
        </w:rPr>
        <w:t>Energija</w:t>
      </w:r>
    </w:p>
    <w:p w:rsidR="00F346B0" w:rsidRPr="00514642" w:rsidRDefault="00F346B0" w:rsidP="00F346B0">
      <w:pPr>
        <w:rPr>
          <w:i/>
          <w:color w:val="0070C0"/>
          <w:sz w:val="20"/>
        </w:rPr>
      </w:pPr>
    </w:p>
    <w:p w:rsidR="00A30E59" w:rsidRPr="00514642" w:rsidRDefault="00F346B0" w:rsidP="009C6A7C">
      <w:pPr>
        <w:jc w:val="both"/>
        <w:rPr>
          <w:sz w:val="20"/>
          <w:szCs w:val="20"/>
        </w:rPr>
      </w:pPr>
      <w:r>
        <w:rPr>
          <w:sz w:val="20"/>
          <w:szCs w:val="20"/>
        </w:rPr>
        <w:t>Neto</w:t>
      </w:r>
      <w:r w:rsidRPr="00514642">
        <w:rPr>
          <w:sz w:val="20"/>
          <w:szCs w:val="20"/>
        </w:rPr>
        <w:t xml:space="preserve"> </w:t>
      </w:r>
      <w:r>
        <w:rPr>
          <w:sz w:val="20"/>
          <w:szCs w:val="20"/>
        </w:rPr>
        <w:t>korisna</w:t>
      </w:r>
      <w:r w:rsidRPr="00514642">
        <w:rPr>
          <w:sz w:val="20"/>
          <w:szCs w:val="20"/>
        </w:rPr>
        <w:t xml:space="preserve"> </w:t>
      </w:r>
      <w:r>
        <w:rPr>
          <w:sz w:val="20"/>
          <w:szCs w:val="20"/>
        </w:rPr>
        <w:t>energija</w:t>
      </w:r>
      <w:r w:rsidRPr="00514642">
        <w:rPr>
          <w:sz w:val="20"/>
          <w:szCs w:val="20"/>
        </w:rPr>
        <w:t xml:space="preserve"> </w:t>
      </w:r>
      <w:r>
        <w:rPr>
          <w:sz w:val="20"/>
          <w:szCs w:val="20"/>
        </w:rPr>
        <w:t>solarnog</w:t>
      </w:r>
      <w:r w:rsidRPr="00514642">
        <w:rPr>
          <w:sz w:val="20"/>
          <w:szCs w:val="20"/>
        </w:rPr>
        <w:t xml:space="preserve"> </w:t>
      </w:r>
      <w:r>
        <w:rPr>
          <w:sz w:val="20"/>
          <w:szCs w:val="20"/>
        </w:rPr>
        <w:t>postrojenja</w:t>
      </w:r>
      <w:r w:rsidRPr="00514642">
        <w:rPr>
          <w:sz w:val="20"/>
          <w:szCs w:val="20"/>
        </w:rPr>
        <w:t xml:space="preserve"> </w:t>
      </w:r>
      <w:r>
        <w:rPr>
          <w:sz w:val="20"/>
          <w:szCs w:val="20"/>
        </w:rPr>
        <w:t>na</w:t>
      </w:r>
      <w:r w:rsidRPr="00514642">
        <w:rPr>
          <w:sz w:val="20"/>
          <w:szCs w:val="20"/>
        </w:rPr>
        <w:t xml:space="preserve"> </w:t>
      </w:r>
      <w:r>
        <w:rPr>
          <w:sz w:val="20"/>
          <w:szCs w:val="20"/>
        </w:rPr>
        <w:t>godi</w:t>
      </w:r>
      <w:r w:rsidRPr="00514642">
        <w:rPr>
          <w:sz w:val="20"/>
          <w:szCs w:val="20"/>
        </w:rPr>
        <w:t>š</w:t>
      </w:r>
      <w:r>
        <w:rPr>
          <w:sz w:val="20"/>
          <w:szCs w:val="20"/>
        </w:rPr>
        <w:t>njem</w:t>
      </w:r>
      <w:r w:rsidRPr="00514642">
        <w:rPr>
          <w:sz w:val="20"/>
          <w:szCs w:val="20"/>
        </w:rPr>
        <w:t xml:space="preserve"> </w:t>
      </w:r>
      <w:r>
        <w:rPr>
          <w:sz w:val="20"/>
          <w:szCs w:val="20"/>
        </w:rPr>
        <w:t>nivou</w:t>
      </w:r>
      <w:r w:rsidRPr="00514642">
        <w:rPr>
          <w:sz w:val="20"/>
          <w:szCs w:val="20"/>
        </w:rPr>
        <w:t xml:space="preserve"> </w:t>
      </w:r>
      <w:r>
        <w:rPr>
          <w:sz w:val="20"/>
          <w:szCs w:val="20"/>
        </w:rPr>
        <w:t>iznosi</w:t>
      </w:r>
      <w:r w:rsidRPr="00514642">
        <w:rPr>
          <w:sz w:val="20"/>
          <w:szCs w:val="20"/>
        </w:rPr>
        <w:t xml:space="preserve"> 172780,8 </w:t>
      </w:r>
      <w:r>
        <w:rPr>
          <w:sz w:val="20"/>
          <w:szCs w:val="20"/>
        </w:rPr>
        <w:t>kWh</w:t>
      </w:r>
      <w:r w:rsidR="00682F46" w:rsidRPr="00514642">
        <w:rPr>
          <w:sz w:val="20"/>
          <w:szCs w:val="20"/>
        </w:rPr>
        <w:t xml:space="preserve">. </w:t>
      </w:r>
      <w:r w:rsidR="00682F46">
        <w:rPr>
          <w:sz w:val="20"/>
          <w:szCs w:val="20"/>
        </w:rPr>
        <w:t>Dok</w:t>
      </w:r>
      <w:r w:rsidR="00682F46" w:rsidRPr="00514642">
        <w:rPr>
          <w:sz w:val="20"/>
          <w:szCs w:val="20"/>
        </w:rPr>
        <w:t xml:space="preserve"> </w:t>
      </w:r>
      <w:r w:rsidR="00682F46">
        <w:rPr>
          <w:sz w:val="20"/>
          <w:szCs w:val="20"/>
        </w:rPr>
        <w:t>za</w:t>
      </w:r>
      <w:r w:rsidR="00682F46" w:rsidRPr="00514642">
        <w:rPr>
          <w:sz w:val="20"/>
          <w:szCs w:val="20"/>
        </w:rPr>
        <w:t xml:space="preserve"> </w:t>
      </w:r>
      <w:r w:rsidR="00682F46">
        <w:rPr>
          <w:sz w:val="20"/>
          <w:szCs w:val="20"/>
        </w:rPr>
        <w:t>minimalni</w:t>
      </w:r>
      <w:r w:rsidR="00682F46" w:rsidRPr="00514642">
        <w:rPr>
          <w:sz w:val="20"/>
          <w:szCs w:val="20"/>
        </w:rPr>
        <w:t xml:space="preserve"> </w:t>
      </w:r>
      <w:r w:rsidR="00682F46">
        <w:rPr>
          <w:sz w:val="20"/>
          <w:szCs w:val="20"/>
        </w:rPr>
        <w:t>eksploatacioni</w:t>
      </w:r>
      <w:r w:rsidR="00682F46" w:rsidRPr="00514642">
        <w:rPr>
          <w:sz w:val="20"/>
          <w:szCs w:val="20"/>
        </w:rPr>
        <w:t xml:space="preserve"> </w:t>
      </w:r>
      <w:r w:rsidR="00682F46">
        <w:rPr>
          <w:sz w:val="20"/>
          <w:szCs w:val="20"/>
        </w:rPr>
        <w:t>vek</w:t>
      </w:r>
      <w:r w:rsidR="00682F46" w:rsidRPr="00514642">
        <w:rPr>
          <w:sz w:val="20"/>
          <w:szCs w:val="20"/>
        </w:rPr>
        <w:t xml:space="preserve"> </w:t>
      </w:r>
      <w:r w:rsidR="00682F46">
        <w:rPr>
          <w:sz w:val="20"/>
          <w:szCs w:val="20"/>
        </w:rPr>
        <w:t>od</w:t>
      </w:r>
      <w:r w:rsidR="00682F46" w:rsidRPr="00514642">
        <w:rPr>
          <w:sz w:val="20"/>
          <w:szCs w:val="20"/>
        </w:rPr>
        <w:t xml:space="preserve"> 30 </w:t>
      </w:r>
      <w:r w:rsidR="00682F46">
        <w:rPr>
          <w:sz w:val="20"/>
          <w:szCs w:val="20"/>
        </w:rPr>
        <w:t>godina</w:t>
      </w:r>
      <w:r w:rsidR="00682F46" w:rsidRPr="00514642">
        <w:rPr>
          <w:sz w:val="20"/>
          <w:szCs w:val="20"/>
        </w:rPr>
        <w:t xml:space="preserve"> </w:t>
      </w:r>
      <w:r w:rsidR="00682F46">
        <w:rPr>
          <w:sz w:val="20"/>
          <w:szCs w:val="20"/>
        </w:rPr>
        <w:t>ona</w:t>
      </w:r>
      <w:r w:rsidR="00682F46" w:rsidRPr="00514642">
        <w:rPr>
          <w:sz w:val="20"/>
          <w:szCs w:val="20"/>
        </w:rPr>
        <w:t xml:space="preserve"> </w:t>
      </w:r>
      <w:r w:rsidR="00682F46">
        <w:rPr>
          <w:sz w:val="20"/>
          <w:szCs w:val="20"/>
        </w:rPr>
        <w:t>iznosi</w:t>
      </w:r>
      <w:r w:rsidR="00682F46" w:rsidRPr="00514642">
        <w:rPr>
          <w:sz w:val="20"/>
          <w:szCs w:val="20"/>
        </w:rPr>
        <w:t xml:space="preserve"> 5183424 </w:t>
      </w:r>
      <w:r w:rsidR="00682F46">
        <w:rPr>
          <w:sz w:val="20"/>
          <w:szCs w:val="20"/>
        </w:rPr>
        <w:t>kWh</w:t>
      </w:r>
      <w:r w:rsidR="00682F46" w:rsidRPr="00514642">
        <w:rPr>
          <w:sz w:val="20"/>
          <w:szCs w:val="20"/>
        </w:rPr>
        <w:t xml:space="preserve"> </w:t>
      </w:r>
      <w:r w:rsidR="00682F46">
        <w:rPr>
          <w:sz w:val="20"/>
          <w:szCs w:val="20"/>
        </w:rPr>
        <w:t>ili</w:t>
      </w:r>
      <w:r w:rsidR="00682F46" w:rsidRPr="00514642">
        <w:rPr>
          <w:sz w:val="20"/>
          <w:szCs w:val="20"/>
        </w:rPr>
        <w:t xml:space="preserve"> 5183,4 </w:t>
      </w:r>
      <w:r w:rsidR="00682F46">
        <w:rPr>
          <w:sz w:val="20"/>
          <w:szCs w:val="20"/>
        </w:rPr>
        <w:t>MWh</w:t>
      </w:r>
      <w:r w:rsidR="00682F46" w:rsidRPr="00514642">
        <w:rPr>
          <w:sz w:val="20"/>
          <w:szCs w:val="20"/>
        </w:rPr>
        <w:t>.</w:t>
      </w:r>
    </w:p>
    <w:p w:rsidR="009C6A7C" w:rsidRPr="00514642" w:rsidRDefault="00A30E59" w:rsidP="009C6A7C">
      <w:pPr>
        <w:jc w:val="both"/>
        <w:rPr>
          <w:sz w:val="20"/>
          <w:szCs w:val="20"/>
        </w:rPr>
      </w:pPr>
      <w:r>
        <w:rPr>
          <w:sz w:val="20"/>
          <w:szCs w:val="20"/>
        </w:rPr>
        <w:t>Treba</w:t>
      </w:r>
      <w:r w:rsidRPr="00514642">
        <w:rPr>
          <w:sz w:val="20"/>
          <w:szCs w:val="20"/>
        </w:rPr>
        <w:t xml:space="preserve"> </w:t>
      </w:r>
      <w:r>
        <w:rPr>
          <w:sz w:val="20"/>
          <w:szCs w:val="20"/>
        </w:rPr>
        <w:t>napomenuti</w:t>
      </w:r>
      <w:r w:rsidRPr="00514642">
        <w:rPr>
          <w:sz w:val="20"/>
          <w:szCs w:val="20"/>
        </w:rPr>
        <w:t xml:space="preserve"> </w:t>
      </w:r>
      <w:r>
        <w:rPr>
          <w:sz w:val="20"/>
          <w:szCs w:val="20"/>
        </w:rPr>
        <w:t>da</w:t>
      </w:r>
      <w:r w:rsidRPr="00514642">
        <w:rPr>
          <w:sz w:val="20"/>
          <w:szCs w:val="20"/>
        </w:rPr>
        <w:t xml:space="preserve"> </w:t>
      </w:r>
      <w:r>
        <w:rPr>
          <w:sz w:val="20"/>
          <w:szCs w:val="20"/>
        </w:rPr>
        <w:t>vek</w:t>
      </w:r>
      <w:r w:rsidRPr="00514642">
        <w:rPr>
          <w:sz w:val="20"/>
          <w:szCs w:val="20"/>
        </w:rPr>
        <w:t xml:space="preserve"> </w:t>
      </w:r>
      <w:r>
        <w:rPr>
          <w:sz w:val="20"/>
          <w:szCs w:val="20"/>
        </w:rPr>
        <w:t>solarne</w:t>
      </w:r>
      <w:r w:rsidRPr="00514642">
        <w:rPr>
          <w:sz w:val="20"/>
          <w:szCs w:val="20"/>
        </w:rPr>
        <w:t xml:space="preserve"> </w:t>
      </w:r>
      <w:r>
        <w:rPr>
          <w:sz w:val="20"/>
          <w:szCs w:val="20"/>
        </w:rPr>
        <w:t>instalacije</w:t>
      </w:r>
      <w:r w:rsidRPr="00514642">
        <w:rPr>
          <w:sz w:val="20"/>
          <w:szCs w:val="20"/>
        </w:rPr>
        <w:t xml:space="preserve"> </w:t>
      </w:r>
      <w:r>
        <w:rPr>
          <w:sz w:val="20"/>
          <w:szCs w:val="20"/>
        </w:rPr>
        <w:t>mo</w:t>
      </w:r>
      <w:r w:rsidRPr="00514642">
        <w:rPr>
          <w:sz w:val="20"/>
          <w:szCs w:val="20"/>
        </w:rPr>
        <w:t>ž</w:t>
      </w:r>
      <w:r>
        <w:rPr>
          <w:sz w:val="20"/>
          <w:szCs w:val="20"/>
        </w:rPr>
        <w:t>e</w:t>
      </w:r>
      <w:r w:rsidRPr="00514642">
        <w:rPr>
          <w:sz w:val="20"/>
          <w:szCs w:val="20"/>
        </w:rPr>
        <w:t xml:space="preserve"> </w:t>
      </w:r>
      <w:r>
        <w:rPr>
          <w:sz w:val="20"/>
          <w:szCs w:val="20"/>
        </w:rPr>
        <w:t>biti</w:t>
      </w:r>
      <w:r w:rsidRPr="00514642">
        <w:rPr>
          <w:sz w:val="20"/>
          <w:szCs w:val="20"/>
        </w:rPr>
        <w:t xml:space="preserve"> 50-</w:t>
      </w:r>
      <w:r>
        <w:rPr>
          <w:sz w:val="20"/>
          <w:szCs w:val="20"/>
        </w:rPr>
        <w:t>tak</w:t>
      </w:r>
      <w:r w:rsidRPr="00514642">
        <w:rPr>
          <w:sz w:val="20"/>
          <w:szCs w:val="20"/>
        </w:rPr>
        <w:t xml:space="preserve"> </w:t>
      </w:r>
      <w:r>
        <w:rPr>
          <w:sz w:val="20"/>
          <w:szCs w:val="20"/>
        </w:rPr>
        <w:t>godina</w:t>
      </w:r>
      <w:r w:rsidRPr="00514642">
        <w:rPr>
          <w:sz w:val="20"/>
          <w:szCs w:val="20"/>
        </w:rPr>
        <w:t xml:space="preserve">. </w:t>
      </w:r>
      <w:r>
        <w:rPr>
          <w:sz w:val="20"/>
          <w:szCs w:val="20"/>
        </w:rPr>
        <w:t>U</w:t>
      </w:r>
      <w:r w:rsidRPr="00514642">
        <w:rPr>
          <w:sz w:val="20"/>
          <w:szCs w:val="20"/>
        </w:rPr>
        <w:t xml:space="preserve"> </w:t>
      </w:r>
      <w:r>
        <w:rPr>
          <w:sz w:val="20"/>
          <w:szCs w:val="20"/>
        </w:rPr>
        <w:t>tom</w:t>
      </w:r>
      <w:r w:rsidRPr="00514642">
        <w:rPr>
          <w:sz w:val="20"/>
          <w:szCs w:val="20"/>
        </w:rPr>
        <w:t xml:space="preserve"> </w:t>
      </w:r>
      <w:r>
        <w:rPr>
          <w:sz w:val="20"/>
          <w:szCs w:val="20"/>
        </w:rPr>
        <w:t>slu</w:t>
      </w:r>
      <w:r w:rsidRPr="00514642">
        <w:rPr>
          <w:sz w:val="20"/>
          <w:szCs w:val="20"/>
        </w:rPr>
        <w:t>č</w:t>
      </w:r>
      <w:r>
        <w:rPr>
          <w:sz w:val="20"/>
          <w:szCs w:val="20"/>
        </w:rPr>
        <w:t>aju</w:t>
      </w:r>
      <w:r w:rsidRPr="00514642">
        <w:rPr>
          <w:sz w:val="20"/>
          <w:szCs w:val="20"/>
        </w:rPr>
        <w:t xml:space="preserve"> </w:t>
      </w:r>
      <w:r>
        <w:rPr>
          <w:sz w:val="20"/>
          <w:szCs w:val="20"/>
        </w:rPr>
        <w:t>su</w:t>
      </w:r>
      <w:r w:rsidRPr="00514642">
        <w:rPr>
          <w:sz w:val="20"/>
          <w:szCs w:val="20"/>
        </w:rPr>
        <w:t xml:space="preserve"> </w:t>
      </w:r>
      <w:r>
        <w:rPr>
          <w:sz w:val="20"/>
          <w:szCs w:val="20"/>
        </w:rPr>
        <w:t>efekti</w:t>
      </w:r>
      <w:r w:rsidRPr="00514642">
        <w:rPr>
          <w:sz w:val="20"/>
          <w:szCs w:val="20"/>
        </w:rPr>
        <w:t xml:space="preserve"> 8639 </w:t>
      </w:r>
      <w:r>
        <w:rPr>
          <w:sz w:val="20"/>
          <w:szCs w:val="20"/>
        </w:rPr>
        <w:t>MWh</w:t>
      </w:r>
      <w:r w:rsidRPr="00514642">
        <w:rPr>
          <w:sz w:val="20"/>
          <w:szCs w:val="20"/>
        </w:rPr>
        <w:t>.</w:t>
      </w:r>
    </w:p>
    <w:p w:rsidR="00A30E59" w:rsidRPr="00514642" w:rsidRDefault="00A30E59" w:rsidP="009C6A7C">
      <w:pPr>
        <w:jc w:val="both"/>
        <w:rPr>
          <w:sz w:val="20"/>
          <w:szCs w:val="20"/>
        </w:rPr>
      </w:pPr>
    </w:p>
    <w:p w:rsidR="00A30E59" w:rsidRPr="00514642" w:rsidRDefault="00A30E59" w:rsidP="00A30E59">
      <w:pPr>
        <w:jc w:val="both"/>
        <w:rPr>
          <w:b/>
          <w:sz w:val="22"/>
          <w:szCs w:val="22"/>
        </w:rPr>
      </w:pPr>
      <w:r w:rsidRPr="00514642">
        <w:rPr>
          <w:b/>
          <w:sz w:val="22"/>
          <w:szCs w:val="22"/>
        </w:rPr>
        <w:t>7.2.</w:t>
      </w:r>
      <w:r w:rsidR="00E9305C" w:rsidRPr="00514642">
        <w:rPr>
          <w:b/>
          <w:sz w:val="22"/>
          <w:szCs w:val="22"/>
        </w:rPr>
        <w:t>2</w:t>
      </w:r>
      <w:r w:rsidRPr="00514642">
        <w:rPr>
          <w:b/>
          <w:sz w:val="22"/>
          <w:szCs w:val="22"/>
        </w:rPr>
        <w:t xml:space="preserve">. </w:t>
      </w:r>
      <w:r>
        <w:rPr>
          <w:b/>
          <w:sz w:val="22"/>
          <w:szCs w:val="22"/>
        </w:rPr>
        <w:t>Ekvivalentna</w:t>
      </w:r>
      <w:r w:rsidRPr="00514642">
        <w:rPr>
          <w:b/>
          <w:sz w:val="22"/>
          <w:szCs w:val="22"/>
        </w:rPr>
        <w:t xml:space="preserve"> </w:t>
      </w:r>
      <w:r>
        <w:rPr>
          <w:b/>
          <w:sz w:val="22"/>
          <w:szCs w:val="22"/>
        </w:rPr>
        <w:t>koli</w:t>
      </w:r>
      <w:r w:rsidRPr="00514642">
        <w:rPr>
          <w:b/>
          <w:sz w:val="22"/>
          <w:szCs w:val="22"/>
        </w:rPr>
        <w:t>č</w:t>
      </w:r>
      <w:r>
        <w:rPr>
          <w:b/>
          <w:sz w:val="22"/>
          <w:szCs w:val="22"/>
        </w:rPr>
        <w:t>ina</w:t>
      </w:r>
      <w:r w:rsidRPr="00514642">
        <w:rPr>
          <w:b/>
          <w:sz w:val="22"/>
          <w:szCs w:val="22"/>
        </w:rPr>
        <w:t xml:space="preserve"> </w:t>
      </w:r>
      <w:r>
        <w:rPr>
          <w:b/>
          <w:sz w:val="22"/>
          <w:szCs w:val="22"/>
        </w:rPr>
        <w:t>supstituisanog</w:t>
      </w:r>
      <w:r w:rsidRPr="00514642">
        <w:rPr>
          <w:b/>
          <w:sz w:val="22"/>
          <w:szCs w:val="22"/>
        </w:rPr>
        <w:t xml:space="preserve"> </w:t>
      </w:r>
      <w:r>
        <w:rPr>
          <w:b/>
          <w:sz w:val="22"/>
          <w:szCs w:val="22"/>
        </w:rPr>
        <w:t>zemnog</w:t>
      </w:r>
      <w:r w:rsidRPr="00514642">
        <w:rPr>
          <w:b/>
          <w:sz w:val="22"/>
          <w:szCs w:val="22"/>
        </w:rPr>
        <w:t xml:space="preserve"> </w:t>
      </w:r>
      <w:r>
        <w:rPr>
          <w:b/>
          <w:sz w:val="22"/>
          <w:szCs w:val="22"/>
        </w:rPr>
        <w:t>gasa</w:t>
      </w:r>
    </w:p>
    <w:p w:rsidR="00A30E59" w:rsidRPr="00514642" w:rsidRDefault="00A30E59" w:rsidP="009C6A7C">
      <w:pPr>
        <w:jc w:val="both"/>
        <w:rPr>
          <w:sz w:val="20"/>
          <w:szCs w:val="20"/>
        </w:rPr>
      </w:pPr>
    </w:p>
    <w:p w:rsidR="009C6A7C" w:rsidRPr="00514642" w:rsidRDefault="00B60209" w:rsidP="009C6A7C">
      <w:pPr>
        <w:jc w:val="both"/>
        <w:rPr>
          <w:sz w:val="20"/>
          <w:szCs w:val="20"/>
        </w:rPr>
      </w:pPr>
      <w:r>
        <w:rPr>
          <w:sz w:val="20"/>
          <w:szCs w:val="20"/>
        </w:rPr>
        <w:t>Ekvivalentna</w:t>
      </w:r>
      <w:r w:rsidRPr="00514642">
        <w:rPr>
          <w:sz w:val="20"/>
          <w:szCs w:val="20"/>
        </w:rPr>
        <w:t xml:space="preserve"> </w:t>
      </w:r>
      <w:r>
        <w:rPr>
          <w:sz w:val="20"/>
          <w:szCs w:val="20"/>
        </w:rPr>
        <w:t>koli</w:t>
      </w:r>
      <w:r w:rsidRPr="00514642">
        <w:rPr>
          <w:sz w:val="20"/>
          <w:szCs w:val="20"/>
        </w:rPr>
        <w:t>č</w:t>
      </w:r>
      <w:r>
        <w:rPr>
          <w:sz w:val="20"/>
          <w:szCs w:val="20"/>
        </w:rPr>
        <w:t>ina</w:t>
      </w:r>
      <w:r w:rsidRPr="00514642">
        <w:rPr>
          <w:sz w:val="20"/>
          <w:szCs w:val="20"/>
        </w:rPr>
        <w:t xml:space="preserve"> </w:t>
      </w:r>
      <w:r>
        <w:rPr>
          <w:sz w:val="20"/>
          <w:szCs w:val="20"/>
        </w:rPr>
        <w:t>supstituisanog</w:t>
      </w:r>
      <w:r w:rsidRPr="00514642">
        <w:rPr>
          <w:sz w:val="20"/>
          <w:szCs w:val="20"/>
        </w:rPr>
        <w:t xml:space="preserve"> </w:t>
      </w:r>
      <w:r>
        <w:rPr>
          <w:sz w:val="20"/>
          <w:szCs w:val="20"/>
        </w:rPr>
        <w:t>zemnog</w:t>
      </w:r>
      <w:r w:rsidRPr="00514642">
        <w:rPr>
          <w:sz w:val="20"/>
          <w:szCs w:val="20"/>
        </w:rPr>
        <w:t xml:space="preserve"> </w:t>
      </w:r>
      <w:r>
        <w:rPr>
          <w:sz w:val="20"/>
          <w:szCs w:val="20"/>
        </w:rPr>
        <w:t>gasa</w:t>
      </w:r>
      <w:r w:rsidRPr="00514642">
        <w:rPr>
          <w:sz w:val="20"/>
          <w:szCs w:val="20"/>
        </w:rPr>
        <w:t xml:space="preserve"> </w:t>
      </w:r>
      <w:r>
        <w:rPr>
          <w:sz w:val="20"/>
          <w:szCs w:val="20"/>
        </w:rPr>
        <w:t>godi</w:t>
      </w:r>
      <w:r w:rsidRPr="00514642">
        <w:rPr>
          <w:sz w:val="20"/>
          <w:szCs w:val="20"/>
        </w:rPr>
        <w:t>š</w:t>
      </w:r>
      <w:r>
        <w:rPr>
          <w:sz w:val="20"/>
          <w:szCs w:val="20"/>
        </w:rPr>
        <w:t>nje</w:t>
      </w:r>
      <w:r w:rsidRPr="00514642">
        <w:rPr>
          <w:sz w:val="20"/>
          <w:szCs w:val="20"/>
        </w:rPr>
        <w:t xml:space="preserve"> </w:t>
      </w:r>
      <w:r>
        <w:rPr>
          <w:sz w:val="20"/>
          <w:szCs w:val="20"/>
        </w:rPr>
        <w:t>je</w:t>
      </w:r>
      <w:r w:rsidRPr="00514642">
        <w:rPr>
          <w:sz w:val="20"/>
          <w:szCs w:val="20"/>
        </w:rPr>
        <w:t xml:space="preserve"> 19242,56 </w:t>
      </w:r>
      <w:r>
        <w:rPr>
          <w:sz w:val="20"/>
          <w:szCs w:val="20"/>
        </w:rPr>
        <w:t>m</w:t>
      </w:r>
      <w:r w:rsidRPr="00514642">
        <w:rPr>
          <w:sz w:val="20"/>
          <w:szCs w:val="20"/>
          <w:vertAlign w:val="superscript"/>
        </w:rPr>
        <w:t>3</w:t>
      </w:r>
      <w:r w:rsidRPr="00514642">
        <w:rPr>
          <w:sz w:val="20"/>
          <w:szCs w:val="20"/>
        </w:rPr>
        <w:t xml:space="preserve">, </w:t>
      </w:r>
      <w:r>
        <w:rPr>
          <w:sz w:val="20"/>
          <w:szCs w:val="20"/>
        </w:rPr>
        <w:t>za</w:t>
      </w:r>
      <w:r w:rsidRPr="00514642">
        <w:rPr>
          <w:sz w:val="20"/>
          <w:szCs w:val="20"/>
        </w:rPr>
        <w:t xml:space="preserve"> </w:t>
      </w:r>
      <w:r>
        <w:rPr>
          <w:sz w:val="20"/>
          <w:szCs w:val="20"/>
        </w:rPr>
        <w:t>minimalni</w:t>
      </w:r>
      <w:r w:rsidRPr="00514642">
        <w:rPr>
          <w:sz w:val="20"/>
          <w:szCs w:val="20"/>
        </w:rPr>
        <w:t xml:space="preserve"> </w:t>
      </w:r>
      <w:r>
        <w:rPr>
          <w:sz w:val="20"/>
          <w:szCs w:val="20"/>
        </w:rPr>
        <w:t>eksploatacioni</w:t>
      </w:r>
      <w:r w:rsidRPr="00514642">
        <w:rPr>
          <w:sz w:val="20"/>
          <w:szCs w:val="20"/>
        </w:rPr>
        <w:t xml:space="preserve"> </w:t>
      </w:r>
      <w:r>
        <w:rPr>
          <w:sz w:val="20"/>
          <w:szCs w:val="20"/>
        </w:rPr>
        <w:t>period</w:t>
      </w:r>
      <w:r w:rsidRPr="00514642">
        <w:rPr>
          <w:sz w:val="20"/>
          <w:szCs w:val="20"/>
        </w:rPr>
        <w:t xml:space="preserve"> </w:t>
      </w:r>
      <w:r w:rsidR="00A8372D">
        <w:rPr>
          <w:sz w:val="20"/>
          <w:szCs w:val="20"/>
        </w:rPr>
        <w:t>od</w:t>
      </w:r>
      <w:r w:rsidR="00A8372D" w:rsidRPr="00514642">
        <w:rPr>
          <w:sz w:val="20"/>
          <w:szCs w:val="20"/>
        </w:rPr>
        <w:t xml:space="preserve"> 30 </w:t>
      </w:r>
      <w:r w:rsidR="00A8372D">
        <w:rPr>
          <w:sz w:val="20"/>
          <w:szCs w:val="20"/>
        </w:rPr>
        <w:t>god</w:t>
      </w:r>
      <w:r w:rsidR="00A8372D" w:rsidRPr="00514642">
        <w:rPr>
          <w:sz w:val="20"/>
          <w:szCs w:val="20"/>
        </w:rPr>
        <w:t xml:space="preserve">. </w:t>
      </w:r>
      <w:r>
        <w:rPr>
          <w:sz w:val="20"/>
          <w:szCs w:val="20"/>
        </w:rPr>
        <w:t>je</w:t>
      </w:r>
      <w:r w:rsidRPr="00514642">
        <w:rPr>
          <w:sz w:val="20"/>
          <w:szCs w:val="20"/>
        </w:rPr>
        <w:t xml:space="preserve"> 577276 </w:t>
      </w:r>
      <w:r>
        <w:rPr>
          <w:sz w:val="20"/>
          <w:szCs w:val="20"/>
        </w:rPr>
        <w:t>m</w:t>
      </w:r>
      <w:r w:rsidRPr="00514642">
        <w:rPr>
          <w:sz w:val="20"/>
          <w:szCs w:val="20"/>
          <w:vertAlign w:val="superscript"/>
        </w:rPr>
        <w:t>3</w:t>
      </w:r>
      <w:r w:rsidRPr="00514642">
        <w:rPr>
          <w:sz w:val="20"/>
          <w:szCs w:val="20"/>
        </w:rPr>
        <w:t xml:space="preserve">, </w:t>
      </w:r>
      <w:r w:rsidR="00E9305C">
        <w:rPr>
          <w:sz w:val="20"/>
          <w:szCs w:val="20"/>
        </w:rPr>
        <w:t>dok</w:t>
      </w:r>
      <w:r w:rsidR="00E9305C" w:rsidRPr="00514642">
        <w:rPr>
          <w:sz w:val="20"/>
          <w:szCs w:val="20"/>
        </w:rPr>
        <w:t xml:space="preserve"> </w:t>
      </w:r>
      <w:r w:rsidR="00E9305C">
        <w:rPr>
          <w:sz w:val="20"/>
          <w:szCs w:val="20"/>
        </w:rPr>
        <w:t>za</w:t>
      </w:r>
      <w:r w:rsidR="00E9305C" w:rsidRPr="00514642">
        <w:rPr>
          <w:sz w:val="20"/>
          <w:szCs w:val="20"/>
        </w:rPr>
        <w:t xml:space="preserve"> </w:t>
      </w:r>
      <w:r w:rsidR="00E9305C">
        <w:rPr>
          <w:sz w:val="20"/>
          <w:szCs w:val="20"/>
        </w:rPr>
        <w:t>eksploatacioni</w:t>
      </w:r>
      <w:r w:rsidR="00E9305C" w:rsidRPr="00514642">
        <w:rPr>
          <w:sz w:val="20"/>
          <w:szCs w:val="20"/>
        </w:rPr>
        <w:t xml:space="preserve"> </w:t>
      </w:r>
      <w:r w:rsidR="00E9305C">
        <w:rPr>
          <w:sz w:val="20"/>
          <w:szCs w:val="20"/>
        </w:rPr>
        <w:t>period</w:t>
      </w:r>
      <w:r w:rsidR="00E9305C" w:rsidRPr="00514642">
        <w:rPr>
          <w:sz w:val="20"/>
          <w:szCs w:val="20"/>
        </w:rPr>
        <w:t xml:space="preserve"> </w:t>
      </w:r>
      <w:r w:rsidR="00E9305C">
        <w:rPr>
          <w:sz w:val="20"/>
          <w:szCs w:val="20"/>
        </w:rPr>
        <w:t>od</w:t>
      </w:r>
      <w:r w:rsidR="00E9305C" w:rsidRPr="00514642">
        <w:rPr>
          <w:sz w:val="20"/>
          <w:szCs w:val="20"/>
        </w:rPr>
        <w:t xml:space="preserve"> 50 </w:t>
      </w:r>
      <w:r w:rsidR="00E9305C">
        <w:rPr>
          <w:sz w:val="20"/>
          <w:szCs w:val="20"/>
        </w:rPr>
        <w:t>godina</w:t>
      </w:r>
      <w:r w:rsidR="00E9305C" w:rsidRPr="00514642">
        <w:rPr>
          <w:sz w:val="20"/>
          <w:szCs w:val="20"/>
        </w:rPr>
        <w:t xml:space="preserve"> </w:t>
      </w:r>
      <w:r w:rsidR="00E9305C">
        <w:rPr>
          <w:sz w:val="20"/>
          <w:szCs w:val="20"/>
        </w:rPr>
        <w:t>iznosi</w:t>
      </w:r>
      <w:r w:rsidR="00E9305C" w:rsidRPr="00514642">
        <w:rPr>
          <w:sz w:val="20"/>
          <w:szCs w:val="20"/>
        </w:rPr>
        <w:t xml:space="preserve"> 962128 </w:t>
      </w:r>
      <w:r w:rsidR="00E9305C">
        <w:rPr>
          <w:sz w:val="20"/>
          <w:szCs w:val="20"/>
        </w:rPr>
        <w:t>m</w:t>
      </w:r>
      <w:r w:rsidR="00E9305C" w:rsidRPr="00514642">
        <w:rPr>
          <w:sz w:val="20"/>
          <w:szCs w:val="20"/>
          <w:vertAlign w:val="superscript"/>
        </w:rPr>
        <w:t>3</w:t>
      </w:r>
      <w:r w:rsidR="00E9305C" w:rsidRPr="00514642">
        <w:rPr>
          <w:sz w:val="20"/>
          <w:szCs w:val="20"/>
        </w:rPr>
        <w:t>.</w:t>
      </w:r>
    </w:p>
    <w:p w:rsidR="00E9305C" w:rsidRPr="00514642" w:rsidRDefault="00E9305C" w:rsidP="00E9305C">
      <w:pPr>
        <w:jc w:val="both"/>
        <w:rPr>
          <w:sz w:val="20"/>
          <w:szCs w:val="20"/>
        </w:rPr>
      </w:pPr>
    </w:p>
    <w:p w:rsidR="00E9305C" w:rsidRPr="00514642" w:rsidRDefault="00E9305C" w:rsidP="00E9305C">
      <w:pPr>
        <w:jc w:val="both"/>
        <w:rPr>
          <w:b/>
          <w:sz w:val="22"/>
          <w:szCs w:val="22"/>
        </w:rPr>
      </w:pPr>
      <w:r w:rsidRPr="00514642">
        <w:rPr>
          <w:b/>
          <w:sz w:val="22"/>
          <w:szCs w:val="22"/>
        </w:rPr>
        <w:t xml:space="preserve">7.2.3. </w:t>
      </w:r>
      <w:r>
        <w:rPr>
          <w:b/>
          <w:sz w:val="22"/>
          <w:szCs w:val="22"/>
        </w:rPr>
        <w:t>Ekolo</w:t>
      </w:r>
      <w:r w:rsidRPr="00514642">
        <w:rPr>
          <w:b/>
          <w:sz w:val="22"/>
          <w:szCs w:val="22"/>
        </w:rPr>
        <w:t>š</w:t>
      </w:r>
      <w:r>
        <w:rPr>
          <w:b/>
          <w:sz w:val="22"/>
          <w:szCs w:val="22"/>
        </w:rPr>
        <w:t>ki</w:t>
      </w:r>
      <w:r w:rsidRPr="00514642">
        <w:rPr>
          <w:b/>
          <w:sz w:val="22"/>
          <w:szCs w:val="22"/>
        </w:rPr>
        <w:t xml:space="preserve"> </w:t>
      </w:r>
      <w:r>
        <w:rPr>
          <w:b/>
          <w:sz w:val="22"/>
          <w:szCs w:val="22"/>
        </w:rPr>
        <w:t>efekti</w:t>
      </w:r>
    </w:p>
    <w:p w:rsidR="00E9305C" w:rsidRPr="00514642" w:rsidRDefault="00E9305C" w:rsidP="00E9305C">
      <w:pPr>
        <w:jc w:val="both"/>
        <w:rPr>
          <w:sz w:val="20"/>
          <w:szCs w:val="20"/>
        </w:rPr>
      </w:pPr>
    </w:p>
    <w:p w:rsidR="009C6A7C" w:rsidRPr="00514642" w:rsidRDefault="00E9305C" w:rsidP="009C6A7C">
      <w:pPr>
        <w:jc w:val="both"/>
        <w:rPr>
          <w:color w:val="000000"/>
          <w:sz w:val="20"/>
          <w:szCs w:val="20"/>
        </w:rPr>
      </w:pPr>
      <w:r>
        <w:rPr>
          <w:sz w:val="20"/>
          <w:szCs w:val="20"/>
        </w:rPr>
        <w:t>Smanjenje</w:t>
      </w:r>
      <w:r w:rsidRPr="00514642">
        <w:rPr>
          <w:sz w:val="20"/>
          <w:szCs w:val="20"/>
        </w:rPr>
        <w:t xml:space="preserve"> </w:t>
      </w:r>
      <w:r>
        <w:rPr>
          <w:sz w:val="20"/>
          <w:szCs w:val="20"/>
        </w:rPr>
        <w:t>emisije</w:t>
      </w:r>
      <w:r w:rsidRPr="00514642">
        <w:rPr>
          <w:sz w:val="20"/>
          <w:szCs w:val="20"/>
        </w:rPr>
        <w:t xml:space="preserve"> </w:t>
      </w:r>
      <w:r>
        <w:rPr>
          <w:sz w:val="20"/>
          <w:szCs w:val="20"/>
        </w:rPr>
        <w:t>CO</w:t>
      </w:r>
      <w:r w:rsidRPr="00514642">
        <w:rPr>
          <w:sz w:val="20"/>
          <w:szCs w:val="20"/>
          <w:vertAlign w:val="subscript"/>
        </w:rPr>
        <w:t>2</w:t>
      </w:r>
      <w:r w:rsidRPr="00514642">
        <w:rPr>
          <w:sz w:val="20"/>
          <w:szCs w:val="20"/>
        </w:rPr>
        <w:t xml:space="preserve"> </w:t>
      </w:r>
      <w:r>
        <w:rPr>
          <w:sz w:val="20"/>
          <w:szCs w:val="20"/>
        </w:rPr>
        <w:t>u</w:t>
      </w:r>
      <w:r w:rsidRPr="00514642">
        <w:rPr>
          <w:sz w:val="20"/>
          <w:szCs w:val="20"/>
        </w:rPr>
        <w:t xml:space="preserve"> </w:t>
      </w:r>
      <w:r>
        <w:rPr>
          <w:sz w:val="20"/>
          <w:szCs w:val="20"/>
        </w:rPr>
        <w:t>atmosferu</w:t>
      </w:r>
      <w:r w:rsidRPr="00514642">
        <w:rPr>
          <w:sz w:val="20"/>
          <w:szCs w:val="20"/>
        </w:rPr>
        <w:t xml:space="preserve"> </w:t>
      </w:r>
      <w:r>
        <w:rPr>
          <w:sz w:val="20"/>
          <w:szCs w:val="20"/>
        </w:rPr>
        <w:t>n</w:t>
      </w:r>
      <w:r w:rsidRPr="00E9305C">
        <w:rPr>
          <w:sz w:val="20"/>
          <w:szCs w:val="20"/>
        </w:rPr>
        <w:t>a</w:t>
      </w:r>
      <w:r w:rsidRPr="00514642">
        <w:rPr>
          <w:sz w:val="20"/>
          <w:szCs w:val="20"/>
        </w:rPr>
        <w:t xml:space="preserve"> </w:t>
      </w:r>
      <w:r w:rsidRPr="00E9305C">
        <w:rPr>
          <w:sz w:val="20"/>
          <w:szCs w:val="20"/>
        </w:rPr>
        <w:t>godi</w:t>
      </w:r>
      <w:r w:rsidRPr="00514642">
        <w:rPr>
          <w:sz w:val="20"/>
          <w:szCs w:val="20"/>
        </w:rPr>
        <w:t>š</w:t>
      </w:r>
      <w:r w:rsidRPr="00E9305C">
        <w:rPr>
          <w:sz w:val="20"/>
          <w:szCs w:val="20"/>
        </w:rPr>
        <w:t>njem</w:t>
      </w:r>
      <w:r w:rsidRPr="00514642">
        <w:rPr>
          <w:sz w:val="20"/>
          <w:szCs w:val="20"/>
        </w:rPr>
        <w:t xml:space="preserve"> </w:t>
      </w:r>
      <w:r w:rsidRPr="00E9305C">
        <w:rPr>
          <w:sz w:val="20"/>
          <w:szCs w:val="20"/>
        </w:rPr>
        <w:t>nivou</w:t>
      </w:r>
      <w:r w:rsidRPr="00514642">
        <w:rPr>
          <w:sz w:val="20"/>
          <w:szCs w:val="20"/>
        </w:rPr>
        <w:t xml:space="preserve"> </w:t>
      </w:r>
      <w:r w:rsidRPr="00E9305C">
        <w:rPr>
          <w:sz w:val="20"/>
          <w:szCs w:val="20"/>
        </w:rPr>
        <w:t>iznosi</w:t>
      </w:r>
      <w:r w:rsidRPr="00514642">
        <w:rPr>
          <w:sz w:val="20"/>
          <w:szCs w:val="20"/>
        </w:rPr>
        <w:t xml:space="preserve"> 43193,56 </w:t>
      </w:r>
      <w:r w:rsidRPr="00E9305C">
        <w:rPr>
          <w:sz w:val="20"/>
          <w:szCs w:val="20"/>
        </w:rPr>
        <w:t>kg</w:t>
      </w:r>
      <w:r w:rsidRPr="00514642">
        <w:rPr>
          <w:sz w:val="20"/>
          <w:szCs w:val="20"/>
        </w:rPr>
        <w:t xml:space="preserve">. </w:t>
      </w:r>
      <w:r w:rsidRPr="00E9305C">
        <w:rPr>
          <w:sz w:val="20"/>
          <w:szCs w:val="20"/>
        </w:rPr>
        <w:t>Smanjenje</w:t>
      </w:r>
      <w:r w:rsidRPr="00514642">
        <w:rPr>
          <w:sz w:val="20"/>
          <w:szCs w:val="20"/>
        </w:rPr>
        <w:t xml:space="preserve"> </w:t>
      </w:r>
      <w:r w:rsidRPr="00E9305C">
        <w:rPr>
          <w:sz w:val="20"/>
          <w:szCs w:val="20"/>
        </w:rPr>
        <w:t>emisije</w:t>
      </w:r>
      <w:r w:rsidRPr="00514642">
        <w:rPr>
          <w:sz w:val="20"/>
          <w:szCs w:val="20"/>
        </w:rPr>
        <w:t xml:space="preserve"> </w:t>
      </w:r>
      <w:r w:rsidRPr="00E9305C">
        <w:rPr>
          <w:sz w:val="20"/>
          <w:szCs w:val="20"/>
        </w:rPr>
        <w:t>CO</w:t>
      </w:r>
      <w:r w:rsidRPr="00514642">
        <w:rPr>
          <w:sz w:val="20"/>
          <w:szCs w:val="20"/>
          <w:vertAlign w:val="subscript"/>
        </w:rPr>
        <w:t>2</w:t>
      </w:r>
      <w:r w:rsidRPr="00514642">
        <w:rPr>
          <w:sz w:val="20"/>
          <w:szCs w:val="20"/>
        </w:rPr>
        <w:t xml:space="preserve"> </w:t>
      </w:r>
      <w:r w:rsidRPr="00E9305C">
        <w:rPr>
          <w:sz w:val="20"/>
          <w:szCs w:val="20"/>
        </w:rPr>
        <w:t>u</w:t>
      </w:r>
      <w:r w:rsidRPr="00514642">
        <w:rPr>
          <w:sz w:val="20"/>
          <w:szCs w:val="20"/>
        </w:rPr>
        <w:t xml:space="preserve"> </w:t>
      </w:r>
      <w:r w:rsidRPr="00E9305C">
        <w:rPr>
          <w:sz w:val="20"/>
          <w:szCs w:val="20"/>
        </w:rPr>
        <w:t>atmosferu</w:t>
      </w:r>
      <w:r w:rsidRPr="00514642">
        <w:rPr>
          <w:sz w:val="20"/>
          <w:szCs w:val="20"/>
        </w:rPr>
        <w:t xml:space="preserve"> </w:t>
      </w:r>
      <w:r w:rsidRPr="00E9305C">
        <w:rPr>
          <w:sz w:val="20"/>
          <w:szCs w:val="20"/>
        </w:rPr>
        <w:t>za</w:t>
      </w:r>
      <w:r w:rsidRPr="00514642">
        <w:rPr>
          <w:sz w:val="20"/>
          <w:szCs w:val="20"/>
        </w:rPr>
        <w:t xml:space="preserve"> </w:t>
      </w:r>
      <w:r w:rsidRPr="00E9305C">
        <w:rPr>
          <w:sz w:val="20"/>
          <w:szCs w:val="20"/>
        </w:rPr>
        <w:t>minimalni</w:t>
      </w:r>
      <w:r w:rsidRPr="00514642">
        <w:rPr>
          <w:sz w:val="20"/>
          <w:szCs w:val="20"/>
        </w:rPr>
        <w:t xml:space="preserve"> </w:t>
      </w:r>
      <w:r w:rsidRPr="00E9305C">
        <w:rPr>
          <w:sz w:val="20"/>
          <w:szCs w:val="20"/>
        </w:rPr>
        <w:t>eksploatacioni</w:t>
      </w:r>
      <w:r w:rsidRPr="00514642">
        <w:rPr>
          <w:sz w:val="20"/>
          <w:szCs w:val="20"/>
        </w:rPr>
        <w:t xml:space="preserve"> </w:t>
      </w:r>
      <w:r w:rsidRPr="00E9305C">
        <w:rPr>
          <w:sz w:val="20"/>
          <w:szCs w:val="20"/>
        </w:rPr>
        <w:t>vek</w:t>
      </w:r>
      <w:r w:rsidRPr="00514642">
        <w:rPr>
          <w:sz w:val="20"/>
          <w:szCs w:val="20"/>
        </w:rPr>
        <w:t xml:space="preserve"> </w:t>
      </w:r>
      <w:r w:rsidRPr="00E9305C">
        <w:rPr>
          <w:sz w:val="20"/>
          <w:szCs w:val="20"/>
        </w:rPr>
        <w:t>od</w:t>
      </w:r>
      <w:r w:rsidRPr="00514642">
        <w:rPr>
          <w:sz w:val="20"/>
          <w:szCs w:val="20"/>
        </w:rPr>
        <w:t xml:space="preserve"> 30 </w:t>
      </w:r>
      <w:r w:rsidRPr="00E9305C">
        <w:rPr>
          <w:sz w:val="20"/>
          <w:szCs w:val="20"/>
        </w:rPr>
        <w:t>godina</w:t>
      </w:r>
      <w:r w:rsidRPr="00514642">
        <w:rPr>
          <w:sz w:val="20"/>
          <w:szCs w:val="20"/>
        </w:rPr>
        <w:t xml:space="preserve"> </w:t>
      </w:r>
      <w:r w:rsidRPr="00E9305C">
        <w:rPr>
          <w:sz w:val="20"/>
          <w:szCs w:val="20"/>
        </w:rPr>
        <w:t>ona</w:t>
      </w:r>
      <w:r w:rsidRPr="00514642">
        <w:rPr>
          <w:sz w:val="20"/>
          <w:szCs w:val="20"/>
        </w:rPr>
        <w:t xml:space="preserve"> </w:t>
      </w:r>
      <w:r w:rsidRPr="00E9305C">
        <w:rPr>
          <w:sz w:val="20"/>
          <w:szCs w:val="20"/>
        </w:rPr>
        <w:t>iznosi</w:t>
      </w:r>
      <w:r w:rsidRPr="00514642">
        <w:rPr>
          <w:sz w:val="20"/>
          <w:szCs w:val="20"/>
        </w:rPr>
        <w:t xml:space="preserve"> 1295807</w:t>
      </w:r>
      <w:r w:rsidRPr="00E9305C">
        <w:rPr>
          <w:sz w:val="20"/>
          <w:szCs w:val="20"/>
        </w:rPr>
        <w:t>kg</w:t>
      </w:r>
      <w:r w:rsidRPr="00514642">
        <w:rPr>
          <w:sz w:val="20"/>
          <w:szCs w:val="20"/>
        </w:rPr>
        <w:t xml:space="preserve">, </w:t>
      </w:r>
      <w:r w:rsidRPr="00E9305C">
        <w:rPr>
          <w:sz w:val="20"/>
          <w:szCs w:val="20"/>
        </w:rPr>
        <w:t>uz</w:t>
      </w:r>
      <w:r w:rsidRPr="00514642">
        <w:rPr>
          <w:sz w:val="20"/>
          <w:szCs w:val="20"/>
        </w:rPr>
        <w:t xml:space="preserve"> </w:t>
      </w:r>
      <w:r w:rsidRPr="00E9305C">
        <w:rPr>
          <w:sz w:val="20"/>
          <w:szCs w:val="20"/>
        </w:rPr>
        <w:t>napomenu</w:t>
      </w:r>
      <w:r w:rsidRPr="00514642">
        <w:rPr>
          <w:sz w:val="20"/>
          <w:szCs w:val="20"/>
        </w:rPr>
        <w:t xml:space="preserve"> </w:t>
      </w:r>
      <w:r w:rsidRPr="00E9305C">
        <w:rPr>
          <w:sz w:val="20"/>
          <w:szCs w:val="20"/>
        </w:rPr>
        <w:t>da</w:t>
      </w:r>
      <w:r w:rsidRPr="00514642">
        <w:rPr>
          <w:sz w:val="20"/>
          <w:szCs w:val="20"/>
        </w:rPr>
        <w:t xml:space="preserve"> </w:t>
      </w:r>
      <w:r w:rsidRPr="00E9305C">
        <w:rPr>
          <w:color w:val="000000"/>
          <w:sz w:val="20"/>
          <w:szCs w:val="20"/>
        </w:rPr>
        <w:t>vek</w:t>
      </w:r>
      <w:r w:rsidRPr="00514642">
        <w:rPr>
          <w:color w:val="000000"/>
          <w:sz w:val="20"/>
          <w:szCs w:val="20"/>
        </w:rPr>
        <w:t xml:space="preserve"> </w:t>
      </w:r>
      <w:r w:rsidRPr="00E9305C">
        <w:rPr>
          <w:color w:val="000000"/>
          <w:sz w:val="20"/>
          <w:szCs w:val="20"/>
        </w:rPr>
        <w:t>solarne</w:t>
      </w:r>
      <w:r w:rsidRPr="00514642">
        <w:rPr>
          <w:color w:val="000000"/>
          <w:sz w:val="20"/>
          <w:szCs w:val="20"/>
        </w:rPr>
        <w:t xml:space="preserve"> </w:t>
      </w:r>
      <w:r w:rsidRPr="00E9305C">
        <w:rPr>
          <w:color w:val="000000"/>
          <w:sz w:val="20"/>
          <w:szCs w:val="20"/>
        </w:rPr>
        <w:t>instalacije</w:t>
      </w:r>
      <w:r w:rsidRPr="00514642">
        <w:rPr>
          <w:color w:val="000000"/>
          <w:sz w:val="20"/>
          <w:szCs w:val="20"/>
        </w:rPr>
        <w:t xml:space="preserve"> </w:t>
      </w:r>
      <w:r w:rsidRPr="00E9305C">
        <w:rPr>
          <w:color w:val="000000"/>
          <w:sz w:val="20"/>
          <w:szCs w:val="20"/>
        </w:rPr>
        <w:t>mo</w:t>
      </w:r>
      <w:r w:rsidRPr="00E9305C">
        <w:rPr>
          <w:color w:val="000000"/>
          <w:sz w:val="20"/>
          <w:szCs w:val="20"/>
          <w:lang w:val="sr-Cyrl-CS"/>
        </w:rPr>
        <w:t>ž</w:t>
      </w:r>
      <w:r w:rsidRPr="00E9305C">
        <w:rPr>
          <w:color w:val="000000"/>
          <w:sz w:val="20"/>
          <w:szCs w:val="20"/>
        </w:rPr>
        <w:t>e</w:t>
      </w:r>
      <w:r w:rsidRPr="00514642">
        <w:rPr>
          <w:color w:val="000000"/>
          <w:sz w:val="20"/>
          <w:szCs w:val="20"/>
        </w:rPr>
        <w:t xml:space="preserve"> </w:t>
      </w:r>
      <w:r w:rsidRPr="00E9305C">
        <w:rPr>
          <w:color w:val="000000"/>
          <w:sz w:val="20"/>
          <w:szCs w:val="20"/>
        </w:rPr>
        <w:t>biti</w:t>
      </w:r>
      <w:r w:rsidRPr="00514642">
        <w:rPr>
          <w:color w:val="000000"/>
          <w:sz w:val="20"/>
          <w:szCs w:val="20"/>
        </w:rPr>
        <w:t xml:space="preserve"> 50-</w:t>
      </w:r>
      <w:r w:rsidRPr="00E9305C">
        <w:rPr>
          <w:color w:val="000000"/>
          <w:sz w:val="20"/>
          <w:szCs w:val="20"/>
        </w:rPr>
        <w:t>tak</w:t>
      </w:r>
      <w:r w:rsidRPr="00514642">
        <w:rPr>
          <w:color w:val="000000"/>
          <w:sz w:val="20"/>
          <w:szCs w:val="20"/>
        </w:rPr>
        <w:t xml:space="preserve"> </w:t>
      </w:r>
      <w:r w:rsidRPr="00E9305C">
        <w:rPr>
          <w:color w:val="000000"/>
          <w:sz w:val="20"/>
          <w:szCs w:val="20"/>
        </w:rPr>
        <w:t>godina</w:t>
      </w:r>
      <w:r w:rsidRPr="00514642">
        <w:rPr>
          <w:color w:val="000000"/>
          <w:sz w:val="20"/>
          <w:szCs w:val="20"/>
        </w:rPr>
        <w:t xml:space="preserve">, </w:t>
      </w:r>
      <w:r>
        <w:rPr>
          <w:color w:val="000000"/>
          <w:sz w:val="20"/>
          <w:szCs w:val="20"/>
        </w:rPr>
        <w:t>pa</w:t>
      </w:r>
      <w:r w:rsidRPr="00514642">
        <w:rPr>
          <w:color w:val="000000"/>
          <w:sz w:val="20"/>
          <w:szCs w:val="20"/>
        </w:rPr>
        <w:t xml:space="preserve"> </w:t>
      </w:r>
      <w:r>
        <w:rPr>
          <w:color w:val="000000"/>
          <w:sz w:val="20"/>
          <w:szCs w:val="20"/>
        </w:rPr>
        <w:t>je</w:t>
      </w:r>
      <w:r w:rsidRPr="00514642">
        <w:rPr>
          <w:color w:val="000000"/>
          <w:sz w:val="20"/>
          <w:szCs w:val="20"/>
        </w:rPr>
        <w:t xml:space="preserve"> </w:t>
      </w:r>
      <w:r>
        <w:rPr>
          <w:color w:val="000000"/>
          <w:sz w:val="20"/>
          <w:szCs w:val="20"/>
        </w:rPr>
        <w:t>u</w:t>
      </w:r>
      <w:r w:rsidRPr="00514642">
        <w:rPr>
          <w:color w:val="000000"/>
          <w:sz w:val="20"/>
          <w:szCs w:val="20"/>
        </w:rPr>
        <w:t xml:space="preserve"> </w:t>
      </w:r>
      <w:r w:rsidRPr="00E9305C">
        <w:rPr>
          <w:color w:val="000000"/>
          <w:sz w:val="20"/>
          <w:szCs w:val="20"/>
        </w:rPr>
        <w:t>tom</w:t>
      </w:r>
      <w:r w:rsidRPr="00514642">
        <w:rPr>
          <w:color w:val="000000"/>
          <w:sz w:val="20"/>
          <w:szCs w:val="20"/>
        </w:rPr>
        <w:t xml:space="preserve"> </w:t>
      </w:r>
      <w:r w:rsidRPr="00E9305C">
        <w:rPr>
          <w:color w:val="000000"/>
          <w:sz w:val="20"/>
          <w:szCs w:val="20"/>
        </w:rPr>
        <w:t>slu</w:t>
      </w:r>
      <w:r w:rsidRPr="00E9305C">
        <w:rPr>
          <w:color w:val="000000"/>
          <w:sz w:val="20"/>
          <w:szCs w:val="20"/>
          <w:lang w:val="sr-Cyrl-CS"/>
        </w:rPr>
        <w:t>č</w:t>
      </w:r>
      <w:r>
        <w:rPr>
          <w:color w:val="000000"/>
          <w:sz w:val="20"/>
          <w:szCs w:val="20"/>
        </w:rPr>
        <w:t>aju</w:t>
      </w:r>
      <w:r w:rsidRPr="00514642">
        <w:rPr>
          <w:color w:val="000000"/>
          <w:sz w:val="20"/>
          <w:szCs w:val="20"/>
        </w:rPr>
        <w:t xml:space="preserve"> </w:t>
      </w:r>
      <w:r w:rsidRPr="00E9305C">
        <w:rPr>
          <w:color w:val="000000"/>
          <w:sz w:val="20"/>
          <w:szCs w:val="20"/>
        </w:rPr>
        <w:t>sma</w:t>
      </w:r>
      <w:r w:rsidRPr="00E9305C">
        <w:rPr>
          <w:color w:val="000000"/>
          <w:sz w:val="20"/>
          <w:szCs w:val="20"/>
          <w:lang w:val="sr-Cyrl-CS"/>
        </w:rPr>
        <w:t>nj</w:t>
      </w:r>
      <w:r w:rsidRPr="00E9305C">
        <w:rPr>
          <w:color w:val="000000"/>
          <w:sz w:val="20"/>
          <w:szCs w:val="20"/>
        </w:rPr>
        <w:t>e</w:t>
      </w:r>
      <w:r w:rsidRPr="00E9305C">
        <w:rPr>
          <w:color w:val="000000"/>
          <w:sz w:val="20"/>
          <w:szCs w:val="20"/>
          <w:lang w:val="sr-Cyrl-CS"/>
        </w:rPr>
        <w:t>nj</w:t>
      </w:r>
      <w:r w:rsidRPr="00E9305C">
        <w:rPr>
          <w:color w:val="000000"/>
          <w:sz w:val="20"/>
          <w:szCs w:val="20"/>
        </w:rPr>
        <w:t>e</w:t>
      </w:r>
      <w:r w:rsidRPr="00514642">
        <w:rPr>
          <w:color w:val="000000"/>
          <w:sz w:val="20"/>
          <w:szCs w:val="20"/>
        </w:rPr>
        <w:t xml:space="preserve"> </w:t>
      </w:r>
      <w:r w:rsidRPr="00E9305C">
        <w:rPr>
          <w:color w:val="000000"/>
          <w:sz w:val="20"/>
          <w:szCs w:val="20"/>
        </w:rPr>
        <w:t>emisije</w:t>
      </w:r>
      <w:r w:rsidRPr="00514642">
        <w:rPr>
          <w:color w:val="000000"/>
          <w:sz w:val="20"/>
          <w:szCs w:val="20"/>
        </w:rPr>
        <w:t xml:space="preserve"> </w:t>
      </w:r>
      <w:r>
        <w:rPr>
          <w:sz w:val="20"/>
          <w:szCs w:val="20"/>
        </w:rPr>
        <w:t>CO</w:t>
      </w:r>
      <w:r w:rsidRPr="00514642">
        <w:rPr>
          <w:sz w:val="20"/>
          <w:szCs w:val="20"/>
          <w:vertAlign w:val="subscript"/>
        </w:rPr>
        <w:t>2</w:t>
      </w:r>
      <w:r w:rsidRPr="00514642">
        <w:rPr>
          <w:color w:val="000000"/>
          <w:sz w:val="20"/>
          <w:szCs w:val="20"/>
        </w:rPr>
        <w:t xml:space="preserve"> </w:t>
      </w:r>
      <w:r w:rsidRPr="00E9305C">
        <w:rPr>
          <w:color w:val="000000"/>
          <w:sz w:val="20"/>
          <w:szCs w:val="20"/>
        </w:rPr>
        <w:t>u</w:t>
      </w:r>
      <w:r w:rsidRPr="00514642">
        <w:rPr>
          <w:color w:val="000000"/>
          <w:sz w:val="20"/>
          <w:szCs w:val="20"/>
        </w:rPr>
        <w:t xml:space="preserve"> </w:t>
      </w:r>
      <w:r w:rsidRPr="00E9305C">
        <w:rPr>
          <w:color w:val="000000"/>
          <w:sz w:val="20"/>
          <w:szCs w:val="20"/>
        </w:rPr>
        <w:t>atmosferu</w:t>
      </w:r>
      <w:r w:rsidRPr="00514642">
        <w:rPr>
          <w:color w:val="000000"/>
          <w:sz w:val="20"/>
          <w:szCs w:val="20"/>
        </w:rPr>
        <w:t xml:space="preserve"> </w:t>
      </w:r>
      <w:r w:rsidRPr="00E9305C">
        <w:rPr>
          <w:color w:val="000000"/>
          <w:sz w:val="20"/>
          <w:szCs w:val="20"/>
        </w:rPr>
        <w:t>zbog</w:t>
      </w:r>
      <w:r w:rsidRPr="00514642">
        <w:rPr>
          <w:color w:val="000000"/>
          <w:sz w:val="20"/>
          <w:szCs w:val="20"/>
        </w:rPr>
        <w:t xml:space="preserve"> </w:t>
      </w:r>
      <w:r w:rsidRPr="00E9305C">
        <w:rPr>
          <w:color w:val="000000"/>
          <w:sz w:val="20"/>
          <w:szCs w:val="20"/>
        </w:rPr>
        <w:t>kori</w:t>
      </w:r>
      <w:r w:rsidRPr="00E9305C">
        <w:rPr>
          <w:color w:val="000000"/>
          <w:sz w:val="20"/>
          <w:szCs w:val="20"/>
          <w:lang w:val="sr-Cyrl-CS"/>
        </w:rPr>
        <w:t>šć</w:t>
      </w:r>
      <w:r w:rsidRPr="00E9305C">
        <w:rPr>
          <w:color w:val="000000"/>
          <w:sz w:val="20"/>
          <w:szCs w:val="20"/>
        </w:rPr>
        <w:t>e</w:t>
      </w:r>
      <w:r w:rsidRPr="00E9305C">
        <w:rPr>
          <w:color w:val="000000"/>
          <w:sz w:val="20"/>
          <w:szCs w:val="20"/>
          <w:lang w:val="sr-Cyrl-CS"/>
        </w:rPr>
        <w:t>nj</w:t>
      </w:r>
      <w:r w:rsidRPr="00E9305C">
        <w:rPr>
          <w:color w:val="000000"/>
          <w:sz w:val="20"/>
          <w:szCs w:val="20"/>
        </w:rPr>
        <w:t>a</w:t>
      </w:r>
      <w:r w:rsidRPr="00514642">
        <w:rPr>
          <w:color w:val="000000"/>
          <w:sz w:val="20"/>
          <w:szCs w:val="20"/>
        </w:rPr>
        <w:t xml:space="preserve"> </w:t>
      </w:r>
      <w:r w:rsidRPr="00E9305C">
        <w:rPr>
          <w:color w:val="000000"/>
          <w:sz w:val="20"/>
          <w:szCs w:val="20"/>
        </w:rPr>
        <w:t>sun</w:t>
      </w:r>
      <w:r w:rsidRPr="00E9305C">
        <w:rPr>
          <w:color w:val="000000"/>
          <w:sz w:val="20"/>
          <w:szCs w:val="20"/>
          <w:lang w:val="sr-Cyrl-CS"/>
        </w:rPr>
        <w:t>č</w:t>
      </w:r>
      <w:r w:rsidRPr="00E9305C">
        <w:rPr>
          <w:color w:val="000000"/>
          <w:sz w:val="20"/>
          <w:szCs w:val="20"/>
        </w:rPr>
        <w:t>eve</w:t>
      </w:r>
      <w:r w:rsidRPr="00514642">
        <w:rPr>
          <w:color w:val="000000"/>
          <w:sz w:val="20"/>
          <w:szCs w:val="20"/>
        </w:rPr>
        <w:t xml:space="preserve"> </w:t>
      </w:r>
      <w:r w:rsidRPr="00E9305C">
        <w:rPr>
          <w:color w:val="000000"/>
          <w:sz w:val="20"/>
          <w:szCs w:val="20"/>
        </w:rPr>
        <w:t>energije</w:t>
      </w:r>
      <w:r w:rsidRPr="00514642">
        <w:rPr>
          <w:color w:val="000000"/>
          <w:sz w:val="20"/>
          <w:szCs w:val="20"/>
        </w:rPr>
        <w:t xml:space="preserve"> </w:t>
      </w:r>
      <w:r w:rsidRPr="00E9305C">
        <w:rPr>
          <w:color w:val="000000"/>
          <w:sz w:val="20"/>
          <w:szCs w:val="20"/>
        </w:rPr>
        <w:t>iz</w:t>
      </w:r>
      <w:r w:rsidRPr="00514642">
        <w:rPr>
          <w:color w:val="000000"/>
          <w:sz w:val="20"/>
          <w:szCs w:val="20"/>
        </w:rPr>
        <w:t xml:space="preserve"> </w:t>
      </w:r>
      <w:r w:rsidRPr="00E9305C">
        <w:rPr>
          <w:color w:val="000000"/>
          <w:sz w:val="20"/>
          <w:szCs w:val="20"/>
          <w:lang w:val="sr-Cyrl-CS"/>
        </w:rPr>
        <w:t>ove</w:t>
      </w:r>
      <w:r w:rsidRPr="00514642">
        <w:rPr>
          <w:color w:val="000000"/>
          <w:sz w:val="20"/>
          <w:szCs w:val="20"/>
        </w:rPr>
        <w:t xml:space="preserve"> </w:t>
      </w:r>
      <w:r w:rsidRPr="00E9305C">
        <w:rPr>
          <w:color w:val="000000"/>
          <w:sz w:val="20"/>
          <w:szCs w:val="20"/>
        </w:rPr>
        <w:t>faze</w:t>
      </w:r>
      <w:r w:rsidRPr="00514642">
        <w:rPr>
          <w:color w:val="000000"/>
          <w:sz w:val="20"/>
          <w:szCs w:val="20"/>
        </w:rPr>
        <w:t xml:space="preserve">: 2159680 </w:t>
      </w:r>
      <w:r>
        <w:rPr>
          <w:color w:val="000000"/>
          <w:sz w:val="20"/>
          <w:szCs w:val="20"/>
        </w:rPr>
        <w:t>kg</w:t>
      </w:r>
      <w:r w:rsidRPr="00514642">
        <w:rPr>
          <w:color w:val="000000"/>
          <w:sz w:val="20"/>
          <w:szCs w:val="20"/>
        </w:rPr>
        <w:t xml:space="preserve"> [</w:t>
      </w:r>
      <w:r w:rsidR="00B949B9" w:rsidRPr="00514642">
        <w:rPr>
          <w:color w:val="000000"/>
          <w:sz w:val="20"/>
          <w:szCs w:val="20"/>
        </w:rPr>
        <w:t>5</w:t>
      </w:r>
      <w:r w:rsidRPr="00514642">
        <w:rPr>
          <w:color w:val="000000"/>
          <w:sz w:val="20"/>
          <w:szCs w:val="20"/>
        </w:rPr>
        <w:t>].</w:t>
      </w:r>
    </w:p>
    <w:p w:rsidR="00AE2D62" w:rsidRDefault="00AE2D62" w:rsidP="00AE2D62">
      <w:pPr>
        <w:jc w:val="both"/>
        <w:rPr>
          <w:sz w:val="20"/>
          <w:szCs w:val="20"/>
        </w:rPr>
      </w:pPr>
    </w:p>
    <w:p w:rsidR="0089203A" w:rsidRDefault="0089203A" w:rsidP="00AE2D62">
      <w:pPr>
        <w:jc w:val="both"/>
        <w:rPr>
          <w:sz w:val="20"/>
          <w:szCs w:val="20"/>
        </w:rPr>
      </w:pPr>
    </w:p>
    <w:p w:rsidR="0089203A" w:rsidRDefault="0089203A" w:rsidP="00AE2D62">
      <w:pPr>
        <w:jc w:val="both"/>
        <w:rPr>
          <w:sz w:val="20"/>
          <w:szCs w:val="20"/>
        </w:rPr>
      </w:pPr>
    </w:p>
    <w:p w:rsidR="0089203A" w:rsidRPr="00514642" w:rsidRDefault="0089203A" w:rsidP="00AE2D62">
      <w:pPr>
        <w:jc w:val="both"/>
        <w:rPr>
          <w:sz w:val="20"/>
          <w:szCs w:val="20"/>
        </w:rPr>
      </w:pPr>
    </w:p>
    <w:p w:rsidR="0089203A" w:rsidRDefault="0089203A" w:rsidP="00AE2D62">
      <w:pPr>
        <w:jc w:val="both"/>
        <w:rPr>
          <w:b/>
          <w:sz w:val="22"/>
          <w:szCs w:val="22"/>
        </w:rPr>
      </w:pPr>
    </w:p>
    <w:p w:rsidR="00AE2D62" w:rsidRPr="0026331E" w:rsidRDefault="00AE2D62" w:rsidP="00AE2D62">
      <w:pPr>
        <w:jc w:val="both"/>
        <w:rPr>
          <w:b/>
          <w:sz w:val="22"/>
          <w:szCs w:val="22"/>
        </w:rPr>
      </w:pPr>
      <w:r w:rsidRPr="0026331E">
        <w:rPr>
          <w:b/>
          <w:sz w:val="22"/>
          <w:szCs w:val="22"/>
        </w:rPr>
        <w:t>7.2.</w:t>
      </w:r>
      <w:r>
        <w:rPr>
          <w:b/>
          <w:sz w:val="22"/>
          <w:szCs w:val="22"/>
        </w:rPr>
        <w:t>4.</w:t>
      </w:r>
      <w:r w:rsidRPr="0026331E">
        <w:rPr>
          <w:b/>
          <w:sz w:val="22"/>
          <w:szCs w:val="22"/>
        </w:rPr>
        <w:t xml:space="preserve"> </w:t>
      </w:r>
      <w:r>
        <w:rPr>
          <w:b/>
          <w:sz w:val="22"/>
          <w:szCs w:val="22"/>
        </w:rPr>
        <w:t>Ekonomska struktura</w:t>
      </w:r>
    </w:p>
    <w:p w:rsidR="00AE2D62" w:rsidRDefault="00AE2D62" w:rsidP="00AE2D62">
      <w:pPr>
        <w:jc w:val="both"/>
        <w:rPr>
          <w:sz w:val="20"/>
          <w:szCs w:val="20"/>
        </w:rPr>
      </w:pPr>
    </w:p>
    <w:p w:rsidR="00AE2D62" w:rsidRPr="00A6050B" w:rsidRDefault="00AE2D62" w:rsidP="00AE2D62">
      <w:pPr>
        <w:jc w:val="center"/>
        <w:rPr>
          <w:sz w:val="20"/>
        </w:rPr>
      </w:pPr>
      <w:r w:rsidRPr="00A6050B">
        <w:rPr>
          <w:b/>
          <w:sz w:val="20"/>
        </w:rPr>
        <w:t>Tabela 1:</w:t>
      </w:r>
      <w:r w:rsidRPr="00A6050B">
        <w:rPr>
          <w:sz w:val="20"/>
        </w:rPr>
        <w:t xml:space="preserve">  I</w:t>
      </w:r>
      <w:r w:rsidR="00A6050B" w:rsidRPr="00A6050B">
        <w:rPr>
          <w:sz w:val="20"/>
        </w:rPr>
        <w:t>zvori finansiranja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3"/>
        <w:gridCol w:w="4320"/>
        <w:gridCol w:w="1381"/>
      </w:tblGrid>
      <w:tr w:rsidR="00A6050B" w:rsidRPr="00A6050B" w:rsidTr="00A6050B">
        <w:trPr>
          <w:jc w:val="center"/>
        </w:trPr>
        <w:tc>
          <w:tcPr>
            <w:tcW w:w="1103" w:type="dxa"/>
            <w:tcBorders>
              <w:top w:val="single" w:sz="12" w:space="0" w:color="auto"/>
              <w:bottom w:val="single" w:sz="12" w:space="0" w:color="auto"/>
            </w:tcBorders>
            <w:shd w:val="clear" w:color="auto" w:fill="FFFFFF"/>
          </w:tcPr>
          <w:p w:rsidR="00AE2D62" w:rsidRPr="00A6050B" w:rsidRDefault="00A6050B" w:rsidP="002F4283">
            <w:pPr>
              <w:jc w:val="center"/>
              <w:rPr>
                <w:sz w:val="20"/>
              </w:rPr>
            </w:pPr>
            <w:r w:rsidRPr="00A6050B">
              <w:rPr>
                <w:sz w:val="20"/>
              </w:rPr>
              <w:t>Redni broj</w:t>
            </w:r>
          </w:p>
        </w:tc>
        <w:tc>
          <w:tcPr>
            <w:tcW w:w="4320" w:type="dxa"/>
            <w:tcBorders>
              <w:top w:val="single" w:sz="12" w:space="0" w:color="auto"/>
              <w:bottom w:val="single" w:sz="12" w:space="0" w:color="auto"/>
            </w:tcBorders>
            <w:shd w:val="clear" w:color="auto" w:fill="FFFFFF"/>
          </w:tcPr>
          <w:p w:rsidR="00AE2D62" w:rsidRPr="00A6050B" w:rsidRDefault="00A6050B" w:rsidP="002F4283">
            <w:pPr>
              <w:jc w:val="center"/>
              <w:rPr>
                <w:sz w:val="20"/>
              </w:rPr>
            </w:pPr>
            <w:r>
              <w:rPr>
                <w:sz w:val="20"/>
              </w:rPr>
              <w:t>Izvori finansiranja</w:t>
            </w:r>
          </w:p>
        </w:tc>
        <w:tc>
          <w:tcPr>
            <w:tcW w:w="1381" w:type="dxa"/>
            <w:tcBorders>
              <w:top w:val="single" w:sz="12" w:space="0" w:color="auto"/>
              <w:bottom w:val="single" w:sz="12" w:space="0" w:color="auto"/>
            </w:tcBorders>
            <w:shd w:val="clear" w:color="auto" w:fill="FFFFFF"/>
          </w:tcPr>
          <w:p w:rsidR="00AE2D62" w:rsidRPr="00A6050B" w:rsidRDefault="00AE2D62" w:rsidP="002F4283">
            <w:pPr>
              <w:jc w:val="center"/>
              <w:rPr>
                <w:sz w:val="20"/>
              </w:rPr>
            </w:pPr>
            <w:r w:rsidRPr="00A6050B">
              <w:rPr>
                <w:sz w:val="20"/>
              </w:rPr>
              <w:t>% učešća</w:t>
            </w:r>
          </w:p>
        </w:tc>
      </w:tr>
      <w:tr w:rsidR="00AE2D62" w:rsidRPr="009E0F38" w:rsidTr="00A6050B">
        <w:trPr>
          <w:jc w:val="center"/>
        </w:trPr>
        <w:tc>
          <w:tcPr>
            <w:tcW w:w="1103" w:type="dxa"/>
            <w:tcBorders>
              <w:top w:val="single" w:sz="12" w:space="0" w:color="auto"/>
            </w:tcBorders>
          </w:tcPr>
          <w:p w:rsidR="00AE2D62" w:rsidRPr="00A6050B" w:rsidRDefault="00A6050B" w:rsidP="00A6050B">
            <w:pPr>
              <w:jc w:val="center"/>
              <w:rPr>
                <w:sz w:val="20"/>
              </w:rPr>
            </w:pPr>
            <w:r>
              <w:rPr>
                <w:sz w:val="20"/>
              </w:rPr>
              <w:t>1.</w:t>
            </w:r>
          </w:p>
        </w:tc>
        <w:tc>
          <w:tcPr>
            <w:tcW w:w="4320" w:type="dxa"/>
            <w:tcBorders>
              <w:top w:val="single" w:sz="12" w:space="0" w:color="auto"/>
            </w:tcBorders>
          </w:tcPr>
          <w:p w:rsidR="00AE2D62" w:rsidRPr="00A6050B" w:rsidRDefault="00A6050B" w:rsidP="00A6050B">
            <w:pPr>
              <w:rPr>
                <w:sz w:val="20"/>
              </w:rPr>
            </w:pPr>
            <w:r w:rsidRPr="00A6050B">
              <w:rPr>
                <w:sz w:val="20"/>
              </w:rPr>
              <w:t>Sopstveno učešće</w:t>
            </w:r>
          </w:p>
        </w:tc>
        <w:tc>
          <w:tcPr>
            <w:tcW w:w="1381" w:type="dxa"/>
            <w:tcBorders>
              <w:top w:val="single" w:sz="12" w:space="0" w:color="auto"/>
            </w:tcBorders>
          </w:tcPr>
          <w:p w:rsidR="00AE2D62" w:rsidRPr="00A6050B" w:rsidRDefault="00A6050B" w:rsidP="00A6050B">
            <w:pPr>
              <w:jc w:val="center"/>
              <w:rPr>
                <w:sz w:val="20"/>
              </w:rPr>
            </w:pPr>
            <w:r>
              <w:rPr>
                <w:sz w:val="20"/>
              </w:rPr>
              <w:t>20</w:t>
            </w:r>
          </w:p>
        </w:tc>
      </w:tr>
      <w:tr w:rsidR="00AE2D62" w:rsidRPr="009E0F38" w:rsidTr="00A6050B">
        <w:trPr>
          <w:jc w:val="center"/>
        </w:trPr>
        <w:tc>
          <w:tcPr>
            <w:tcW w:w="1103" w:type="dxa"/>
          </w:tcPr>
          <w:p w:rsidR="00AE2D62" w:rsidRPr="00A6050B" w:rsidRDefault="00A6050B" w:rsidP="00A6050B">
            <w:pPr>
              <w:jc w:val="center"/>
              <w:rPr>
                <w:sz w:val="20"/>
              </w:rPr>
            </w:pPr>
            <w:r>
              <w:rPr>
                <w:sz w:val="20"/>
              </w:rPr>
              <w:t>2.</w:t>
            </w:r>
          </w:p>
        </w:tc>
        <w:tc>
          <w:tcPr>
            <w:tcW w:w="4320" w:type="dxa"/>
          </w:tcPr>
          <w:p w:rsidR="00AE2D62" w:rsidRPr="00514642" w:rsidRDefault="00A6050B" w:rsidP="00A6050B">
            <w:pPr>
              <w:rPr>
                <w:sz w:val="20"/>
                <w:lang w:val="de-DE"/>
              </w:rPr>
            </w:pPr>
            <w:r w:rsidRPr="00514642">
              <w:rPr>
                <w:sz w:val="20"/>
                <w:lang w:val="de-DE"/>
              </w:rPr>
              <w:t>Pokrajinski sekretarijat za energetiku i mineralne sirovine</w:t>
            </w:r>
          </w:p>
        </w:tc>
        <w:tc>
          <w:tcPr>
            <w:tcW w:w="1381" w:type="dxa"/>
          </w:tcPr>
          <w:p w:rsidR="00AE2D62" w:rsidRPr="00A6050B" w:rsidRDefault="00A6050B" w:rsidP="00A6050B">
            <w:pPr>
              <w:jc w:val="center"/>
              <w:rPr>
                <w:sz w:val="20"/>
              </w:rPr>
            </w:pPr>
            <w:r>
              <w:rPr>
                <w:sz w:val="20"/>
              </w:rPr>
              <w:t>80</w:t>
            </w:r>
          </w:p>
        </w:tc>
      </w:tr>
      <w:tr w:rsidR="00AE2D62" w:rsidRPr="009E0F38" w:rsidTr="00A6050B">
        <w:trPr>
          <w:jc w:val="center"/>
        </w:trPr>
        <w:tc>
          <w:tcPr>
            <w:tcW w:w="1103" w:type="dxa"/>
          </w:tcPr>
          <w:p w:rsidR="00AE2D62" w:rsidRPr="00A6050B" w:rsidRDefault="00A6050B" w:rsidP="00A6050B">
            <w:pPr>
              <w:jc w:val="center"/>
              <w:rPr>
                <w:sz w:val="20"/>
              </w:rPr>
            </w:pPr>
            <w:r>
              <w:rPr>
                <w:sz w:val="20"/>
              </w:rPr>
              <w:t>3.</w:t>
            </w:r>
          </w:p>
        </w:tc>
        <w:tc>
          <w:tcPr>
            <w:tcW w:w="4320" w:type="dxa"/>
          </w:tcPr>
          <w:p w:rsidR="00AE2D62" w:rsidRPr="00A6050B" w:rsidRDefault="00A6050B" w:rsidP="00A6050B">
            <w:pPr>
              <w:rPr>
                <w:sz w:val="20"/>
              </w:rPr>
            </w:pPr>
            <w:r>
              <w:rPr>
                <w:sz w:val="20"/>
              </w:rPr>
              <w:t>Krediti</w:t>
            </w:r>
          </w:p>
        </w:tc>
        <w:tc>
          <w:tcPr>
            <w:tcW w:w="1381" w:type="dxa"/>
          </w:tcPr>
          <w:p w:rsidR="00AE2D62" w:rsidRPr="00A6050B" w:rsidRDefault="00A6050B" w:rsidP="00A6050B">
            <w:pPr>
              <w:jc w:val="center"/>
              <w:rPr>
                <w:sz w:val="20"/>
              </w:rPr>
            </w:pPr>
            <w:r>
              <w:rPr>
                <w:sz w:val="20"/>
              </w:rPr>
              <w:t>0</w:t>
            </w:r>
          </w:p>
        </w:tc>
      </w:tr>
      <w:tr w:rsidR="00A6050B" w:rsidRPr="009E0F38" w:rsidTr="00A6050B">
        <w:trPr>
          <w:jc w:val="center"/>
        </w:trPr>
        <w:tc>
          <w:tcPr>
            <w:tcW w:w="1103" w:type="dxa"/>
          </w:tcPr>
          <w:p w:rsidR="00A6050B" w:rsidRPr="00A6050B" w:rsidRDefault="00A6050B" w:rsidP="00A6050B">
            <w:pPr>
              <w:jc w:val="center"/>
              <w:rPr>
                <w:sz w:val="20"/>
              </w:rPr>
            </w:pPr>
            <w:r>
              <w:rPr>
                <w:sz w:val="20"/>
              </w:rPr>
              <w:t>4.</w:t>
            </w:r>
          </w:p>
        </w:tc>
        <w:tc>
          <w:tcPr>
            <w:tcW w:w="4320" w:type="dxa"/>
          </w:tcPr>
          <w:p w:rsidR="00A6050B" w:rsidRPr="00A6050B" w:rsidRDefault="00A6050B" w:rsidP="00A6050B">
            <w:pPr>
              <w:rPr>
                <w:sz w:val="20"/>
              </w:rPr>
            </w:pPr>
            <w:r>
              <w:rPr>
                <w:sz w:val="20"/>
              </w:rPr>
              <w:t>Ostali izvori</w:t>
            </w:r>
          </w:p>
        </w:tc>
        <w:tc>
          <w:tcPr>
            <w:tcW w:w="1381" w:type="dxa"/>
          </w:tcPr>
          <w:p w:rsidR="00A6050B" w:rsidRPr="00A6050B" w:rsidRDefault="00A6050B" w:rsidP="00A6050B">
            <w:pPr>
              <w:jc w:val="center"/>
              <w:rPr>
                <w:sz w:val="20"/>
              </w:rPr>
            </w:pPr>
            <w:r>
              <w:rPr>
                <w:sz w:val="20"/>
              </w:rPr>
              <w:t>0</w:t>
            </w:r>
          </w:p>
        </w:tc>
      </w:tr>
      <w:tr w:rsidR="00A6050B" w:rsidRPr="009E0F38" w:rsidTr="00A6050B">
        <w:trPr>
          <w:jc w:val="center"/>
        </w:trPr>
        <w:tc>
          <w:tcPr>
            <w:tcW w:w="1103" w:type="dxa"/>
            <w:tcBorders>
              <w:bottom w:val="single" w:sz="12" w:space="0" w:color="auto"/>
            </w:tcBorders>
          </w:tcPr>
          <w:p w:rsidR="00A6050B" w:rsidRPr="00A6050B" w:rsidRDefault="00A6050B" w:rsidP="00A6050B">
            <w:pPr>
              <w:jc w:val="center"/>
              <w:rPr>
                <w:sz w:val="20"/>
              </w:rPr>
            </w:pPr>
            <w:r>
              <w:rPr>
                <w:sz w:val="20"/>
              </w:rPr>
              <w:t>5.</w:t>
            </w:r>
          </w:p>
        </w:tc>
        <w:tc>
          <w:tcPr>
            <w:tcW w:w="4320" w:type="dxa"/>
            <w:tcBorders>
              <w:bottom w:val="single" w:sz="12" w:space="0" w:color="auto"/>
            </w:tcBorders>
          </w:tcPr>
          <w:p w:rsidR="00A6050B" w:rsidRPr="00A6050B" w:rsidRDefault="00A6050B" w:rsidP="00A6050B">
            <w:pPr>
              <w:rPr>
                <w:sz w:val="20"/>
              </w:rPr>
            </w:pPr>
            <w:r>
              <w:rPr>
                <w:sz w:val="20"/>
              </w:rPr>
              <w:t>Ukupno</w:t>
            </w:r>
          </w:p>
        </w:tc>
        <w:tc>
          <w:tcPr>
            <w:tcW w:w="1381" w:type="dxa"/>
            <w:tcBorders>
              <w:bottom w:val="single" w:sz="12" w:space="0" w:color="auto"/>
            </w:tcBorders>
          </w:tcPr>
          <w:p w:rsidR="00A6050B" w:rsidRPr="00A6050B" w:rsidRDefault="00A6050B" w:rsidP="00A6050B">
            <w:pPr>
              <w:jc w:val="center"/>
              <w:rPr>
                <w:sz w:val="20"/>
              </w:rPr>
            </w:pPr>
            <w:r>
              <w:rPr>
                <w:sz w:val="20"/>
              </w:rPr>
              <w:t>100</w:t>
            </w:r>
          </w:p>
        </w:tc>
      </w:tr>
    </w:tbl>
    <w:p w:rsidR="009C6A7C" w:rsidRDefault="009C6A7C" w:rsidP="009C6A7C">
      <w:pPr>
        <w:jc w:val="both"/>
        <w:rPr>
          <w:sz w:val="20"/>
          <w:szCs w:val="20"/>
        </w:rPr>
      </w:pPr>
    </w:p>
    <w:p w:rsidR="009C6A7C" w:rsidRDefault="00A6050B" w:rsidP="009C6A7C">
      <w:pPr>
        <w:jc w:val="both"/>
        <w:rPr>
          <w:sz w:val="20"/>
          <w:szCs w:val="20"/>
        </w:rPr>
      </w:pPr>
      <w:r>
        <w:rPr>
          <w:sz w:val="20"/>
          <w:szCs w:val="20"/>
        </w:rPr>
        <w:t>Pošto su investiciona sredstva bespovratna, ne postoje obaveze otplate prema izvoru finansiranja.</w:t>
      </w:r>
    </w:p>
    <w:p w:rsidR="009C6A7C" w:rsidRDefault="009C6A7C" w:rsidP="009C6A7C">
      <w:pPr>
        <w:jc w:val="both"/>
        <w:rPr>
          <w:sz w:val="20"/>
          <w:szCs w:val="20"/>
        </w:rPr>
      </w:pPr>
    </w:p>
    <w:p w:rsidR="009C6A7C" w:rsidRDefault="00514642" w:rsidP="00A6050B">
      <w:pPr>
        <w:jc w:val="center"/>
        <w:rPr>
          <w:sz w:val="20"/>
          <w:szCs w:val="20"/>
        </w:rPr>
      </w:pPr>
      <w:r>
        <w:rPr>
          <w:noProof/>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63500</wp:posOffset>
            </wp:positionV>
            <wp:extent cx="2740914" cy="1828800"/>
            <wp:effectExtent l="0" t="0" r="2286" b="635"/>
            <wp:wrapSquare wrapText="bothSides"/>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C6A7C" w:rsidRDefault="009C6A7C"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9C6A7C" w:rsidRDefault="009C6A7C" w:rsidP="009C6A7C">
      <w:pPr>
        <w:jc w:val="both"/>
        <w:rPr>
          <w:sz w:val="20"/>
          <w:szCs w:val="20"/>
        </w:rPr>
      </w:pPr>
    </w:p>
    <w:p w:rsidR="00A6050B" w:rsidRDefault="00A6050B" w:rsidP="009C6A7C">
      <w:pPr>
        <w:jc w:val="both"/>
        <w:rPr>
          <w:sz w:val="20"/>
          <w:szCs w:val="20"/>
        </w:rPr>
      </w:pPr>
    </w:p>
    <w:p w:rsidR="00A6050B" w:rsidRDefault="00A6050B" w:rsidP="009C6A7C">
      <w:pPr>
        <w:jc w:val="both"/>
        <w:rPr>
          <w:sz w:val="20"/>
          <w:szCs w:val="20"/>
        </w:rPr>
      </w:pPr>
    </w:p>
    <w:p w:rsidR="00A6050B" w:rsidRPr="009B35C3" w:rsidRDefault="00A6050B" w:rsidP="00A6050B">
      <w:pPr>
        <w:jc w:val="center"/>
        <w:rPr>
          <w:sz w:val="20"/>
        </w:rPr>
      </w:pPr>
      <w:r w:rsidRPr="009B35C3">
        <w:rPr>
          <w:b/>
          <w:sz w:val="20"/>
        </w:rPr>
        <w:t>Slika 1:</w:t>
      </w:r>
      <w:r w:rsidRPr="009B35C3">
        <w:rPr>
          <w:sz w:val="20"/>
        </w:rPr>
        <w:t xml:space="preserve">  Konstrukcija ulaganja</w:t>
      </w:r>
    </w:p>
    <w:p w:rsidR="00A6050B" w:rsidRDefault="00A6050B" w:rsidP="009C6A7C">
      <w:pPr>
        <w:jc w:val="both"/>
        <w:rPr>
          <w:sz w:val="20"/>
          <w:szCs w:val="20"/>
        </w:rPr>
      </w:pPr>
    </w:p>
    <w:p w:rsidR="00A6050B" w:rsidRDefault="00A33057" w:rsidP="009C6A7C">
      <w:pPr>
        <w:jc w:val="both"/>
        <w:rPr>
          <w:sz w:val="20"/>
          <w:szCs w:val="20"/>
        </w:rPr>
      </w:pPr>
      <w:r>
        <w:rPr>
          <w:sz w:val="20"/>
          <w:szCs w:val="20"/>
        </w:rPr>
        <w:t>Na osnovu iznešenih podataka period otplate investicionog ulaganja je nešto manji od 4 godine</w:t>
      </w:r>
      <w:r w:rsidR="004A2713">
        <w:rPr>
          <w:sz w:val="20"/>
          <w:szCs w:val="20"/>
        </w:rPr>
        <w:t>. Polazna osnova za ovu ocenu projekta su novčani tokovi, za ceo njegov ekonomski vek. Dok su u analizi rentabilnosti korišćeni kriterijumi perioda povraćaja investicionih ulaganja i neto sadašnje vrednosti projekta.</w:t>
      </w:r>
    </w:p>
    <w:p w:rsidR="00090B9D" w:rsidRPr="00D95884" w:rsidRDefault="00090B9D" w:rsidP="00090B9D">
      <w:pPr>
        <w:jc w:val="both"/>
        <w:rPr>
          <w:sz w:val="20"/>
          <w:szCs w:val="20"/>
        </w:rPr>
      </w:pPr>
      <w:r w:rsidRPr="00D95884">
        <w:rPr>
          <w:sz w:val="20"/>
          <w:szCs w:val="20"/>
        </w:rPr>
        <w:t>Realizacijom ovog projekta, Solarnog postrojenja</w:t>
      </w:r>
      <w:r>
        <w:rPr>
          <w:sz w:val="20"/>
          <w:szCs w:val="20"/>
        </w:rPr>
        <w:t xml:space="preserve"> </w:t>
      </w:r>
      <w:r w:rsidRPr="00D95884">
        <w:rPr>
          <w:sz w:val="20"/>
          <w:szCs w:val="20"/>
        </w:rPr>
        <w:t xml:space="preserve">predviđa se ušteda energije za oko </w:t>
      </w:r>
      <w:r>
        <w:rPr>
          <w:sz w:val="20"/>
          <w:szCs w:val="20"/>
        </w:rPr>
        <w:t>172</w:t>
      </w:r>
      <w:r w:rsidRPr="00D95884">
        <w:rPr>
          <w:sz w:val="20"/>
          <w:szCs w:val="20"/>
        </w:rPr>
        <w:t>780,8 kWh na godišnjem nivou. Predviđeni eksploatacioni period Solarnog postrojenja je oko 50 godina, što bi značilo da bi se za taj period ostvarila ušteda za oko 8.639.040,00 MWh. Pored ekonomske isplativosti vrlo je važno napomenuti i ekološke efekte koji se postižu, na godišnjem nivou smanjenje emisije CO</w:t>
      </w:r>
      <w:r w:rsidRPr="00D95884">
        <w:rPr>
          <w:sz w:val="20"/>
          <w:szCs w:val="20"/>
          <w:vertAlign w:val="subscript"/>
        </w:rPr>
        <w:t xml:space="preserve">2 </w:t>
      </w:r>
      <w:r w:rsidRPr="00D95884">
        <w:rPr>
          <w:sz w:val="20"/>
          <w:szCs w:val="20"/>
        </w:rPr>
        <w:t xml:space="preserve">iznosilo bi </w:t>
      </w:r>
      <w:r>
        <w:rPr>
          <w:sz w:val="20"/>
          <w:szCs w:val="20"/>
        </w:rPr>
        <w:t>43</w:t>
      </w:r>
      <w:r w:rsidRPr="00D95884">
        <w:rPr>
          <w:sz w:val="20"/>
          <w:szCs w:val="20"/>
        </w:rPr>
        <w:t>193,599</w:t>
      </w:r>
      <w:r w:rsidRPr="00090B9D">
        <w:rPr>
          <w:color w:val="000000"/>
          <w:sz w:val="20"/>
          <w:szCs w:val="20"/>
        </w:rPr>
        <w:t xml:space="preserve"> kg, </w:t>
      </w:r>
      <w:r w:rsidRPr="00D95884">
        <w:rPr>
          <w:sz w:val="20"/>
          <w:szCs w:val="20"/>
        </w:rPr>
        <w:t>bez čega sama novčana ušteda ne bi imala pravi efekat, što doprinosi opštoj opravdanosti investicije.</w:t>
      </w:r>
    </w:p>
    <w:p w:rsidR="00090B9D" w:rsidRPr="00D95884" w:rsidRDefault="00090B9D" w:rsidP="00090B9D">
      <w:pPr>
        <w:jc w:val="both"/>
        <w:rPr>
          <w:sz w:val="20"/>
          <w:szCs w:val="20"/>
        </w:rPr>
      </w:pPr>
      <w:r w:rsidRPr="00D95884">
        <w:rPr>
          <w:sz w:val="20"/>
          <w:szCs w:val="20"/>
        </w:rPr>
        <w:t>Ovakvi rezultati direktno utiču na kratak period otplate, a samim ti</w:t>
      </w:r>
      <w:r w:rsidR="004F02AA">
        <w:rPr>
          <w:sz w:val="20"/>
          <w:szCs w:val="20"/>
        </w:rPr>
        <w:t xml:space="preserve">m i na investicionu opravdanost </w:t>
      </w:r>
      <w:r w:rsidR="004F02AA">
        <w:rPr>
          <w:color w:val="000000"/>
          <w:sz w:val="20"/>
          <w:szCs w:val="20"/>
          <w:lang w:val="sr-Latn-CS"/>
        </w:rPr>
        <w:t>[8]</w:t>
      </w:r>
      <w:r w:rsidR="004F02AA" w:rsidRPr="00D95884">
        <w:rPr>
          <w:color w:val="000000"/>
          <w:sz w:val="20"/>
          <w:szCs w:val="20"/>
          <w:lang w:val="sr-Latn-CS"/>
        </w:rPr>
        <w:t>.</w:t>
      </w:r>
    </w:p>
    <w:p w:rsidR="00A33057" w:rsidRPr="00514642" w:rsidRDefault="00A33057" w:rsidP="00090B9D">
      <w:pPr>
        <w:rPr>
          <w:i/>
          <w:color w:val="0070C0"/>
          <w:sz w:val="20"/>
        </w:rPr>
      </w:pPr>
    </w:p>
    <w:p w:rsidR="00A33057" w:rsidRDefault="00A33057" w:rsidP="00A33057">
      <w:pPr>
        <w:jc w:val="both"/>
        <w:rPr>
          <w:color w:val="0070C0"/>
          <w:sz w:val="20"/>
        </w:rPr>
      </w:pPr>
    </w:p>
    <w:p w:rsidR="0089203A" w:rsidRPr="00514642" w:rsidRDefault="0089203A" w:rsidP="00A33057">
      <w:pPr>
        <w:jc w:val="both"/>
        <w:rPr>
          <w:color w:val="0070C0"/>
          <w:sz w:val="20"/>
        </w:rPr>
      </w:pPr>
    </w:p>
    <w:p w:rsidR="00A33057" w:rsidRPr="00514642" w:rsidRDefault="004A2713" w:rsidP="00A33057">
      <w:pPr>
        <w:jc w:val="both"/>
        <w:rPr>
          <w:sz w:val="22"/>
          <w:szCs w:val="22"/>
        </w:rPr>
      </w:pPr>
      <w:r w:rsidRPr="00514642">
        <w:rPr>
          <w:b/>
          <w:sz w:val="22"/>
          <w:szCs w:val="22"/>
        </w:rPr>
        <w:t>8</w:t>
      </w:r>
      <w:r w:rsidR="00A33057" w:rsidRPr="00514642">
        <w:rPr>
          <w:b/>
          <w:sz w:val="22"/>
          <w:szCs w:val="22"/>
        </w:rPr>
        <w:t>. ZAKLJUČAK</w:t>
      </w:r>
    </w:p>
    <w:p w:rsidR="00A33057" w:rsidRPr="00514642" w:rsidRDefault="00A33057" w:rsidP="00A33057">
      <w:pPr>
        <w:jc w:val="both"/>
        <w:rPr>
          <w:color w:val="0070C0"/>
          <w:sz w:val="20"/>
        </w:rPr>
      </w:pPr>
    </w:p>
    <w:p w:rsidR="00090B9D" w:rsidRPr="00666C44" w:rsidRDefault="00090B9D" w:rsidP="00090B9D">
      <w:pPr>
        <w:jc w:val="both"/>
        <w:rPr>
          <w:sz w:val="20"/>
          <w:szCs w:val="20"/>
        </w:rPr>
      </w:pPr>
      <w:r w:rsidRPr="00666C44">
        <w:rPr>
          <w:sz w:val="20"/>
          <w:szCs w:val="20"/>
        </w:rPr>
        <w:t>An</w:t>
      </w:r>
      <w:r>
        <w:rPr>
          <w:sz w:val="20"/>
          <w:szCs w:val="20"/>
        </w:rPr>
        <w:t>alize koje su urađenje pokazuju da će se realizacijom investicije</w:t>
      </w:r>
      <w:r w:rsidRPr="00666C44">
        <w:rPr>
          <w:sz w:val="20"/>
          <w:szCs w:val="20"/>
        </w:rPr>
        <w:t xml:space="preserve"> postići brojni pozitivni energetski efekti uključujući na prvom mestu isplativost i povećan kvalitet zagrevanja sanitarne vode</w:t>
      </w:r>
      <w:r>
        <w:rPr>
          <w:sz w:val="20"/>
          <w:szCs w:val="20"/>
        </w:rPr>
        <w:t>.</w:t>
      </w:r>
    </w:p>
    <w:p w:rsidR="00090B9D" w:rsidRPr="00666C44" w:rsidRDefault="00090B9D" w:rsidP="00090B9D">
      <w:pPr>
        <w:jc w:val="both"/>
        <w:rPr>
          <w:sz w:val="20"/>
          <w:szCs w:val="20"/>
        </w:rPr>
      </w:pPr>
      <w:r>
        <w:rPr>
          <w:sz w:val="20"/>
          <w:szCs w:val="20"/>
        </w:rPr>
        <w:t>Sa aspekta zaštite životne sredine ovakve vrste projekta u postpunosti zadovoljavaju ekološke principe. Takođe, r</w:t>
      </w:r>
      <w:r w:rsidRPr="00666C44">
        <w:rPr>
          <w:sz w:val="20"/>
          <w:szCs w:val="20"/>
        </w:rPr>
        <w:t xml:space="preserve">ealizacijom </w:t>
      </w:r>
      <w:r>
        <w:rPr>
          <w:sz w:val="20"/>
          <w:szCs w:val="20"/>
        </w:rPr>
        <w:t xml:space="preserve">ove vrste </w:t>
      </w:r>
      <w:r w:rsidRPr="00666C44">
        <w:rPr>
          <w:sz w:val="20"/>
          <w:szCs w:val="20"/>
        </w:rPr>
        <w:t>projekta ostvariće se bolji uslovi za rad sa aspekta zaštite na radu i uslova rada</w:t>
      </w:r>
      <w:r>
        <w:rPr>
          <w:sz w:val="20"/>
          <w:szCs w:val="20"/>
        </w:rPr>
        <w:t>.</w:t>
      </w:r>
    </w:p>
    <w:p w:rsidR="00A33057" w:rsidRPr="00514642" w:rsidRDefault="00090B9D" w:rsidP="00090B9D">
      <w:pPr>
        <w:jc w:val="both"/>
        <w:rPr>
          <w:sz w:val="20"/>
        </w:rPr>
      </w:pPr>
      <w:r>
        <w:rPr>
          <w:sz w:val="20"/>
          <w:szCs w:val="20"/>
        </w:rPr>
        <w:t>I na kraju r</w:t>
      </w:r>
      <w:r w:rsidRPr="00666C44">
        <w:rPr>
          <w:sz w:val="20"/>
          <w:szCs w:val="20"/>
        </w:rPr>
        <w:t>ealizacijom projekta će se ostvariti dobit u toku celog veka trajanja projekta (ukupan prihod će biti veći od ukupnih rashoda).</w:t>
      </w:r>
    </w:p>
    <w:p w:rsidR="004F02AA" w:rsidRPr="001A1720" w:rsidRDefault="004F02AA" w:rsidP="004F02AA">
      <w:pPr>
        <w:jc w:val="both"/>
        <w:rPr>
          <w:color w:val="000000"/>
          <w:lang w:val="sr-Latn-CS"/>
        </w:rPr>
      </w:pPr>
      <w:r w:rsidRPr="00D95884">
        <w:rPr>
          <w:color w:val="000000"/>
          <w:sz w:val="20"/>
          <w:szCs w:val="20"/>
          <w:lang w:val="sr-Latn-CS"/>
        </w:rPr>
        <w:t>Ovaj tip izvedenog</w:t>
      </w:r>
      <w:r w:rsidRPr="00D95884">
        <w:rPr>
          <w:color w:val="000000"/>
          <w:sz w:val="20"/>
          <w:szCs w:val="20"/>
          <w:lang w:val="sr-Cyrl-CS"/>
        </w:rPr>
        <w:t xml:space="preserve"> projekt</w:t>
      </w:r>
      <w:r w:rsidRPr="00D95884">
        <w:rPr>
          <w:color w:val="000000"/>
          <w:sz w:val="20"/>
          <w:szCs w:val="20"/>
          <w:lang w:val="sr-Latn-CS"/>
        </w:rPr>
        <w:t>a</w:t>
      </w:r>
      <w:r w:rsidRPr="00D95884">
        <w:rPr>
          <w:color w:val="000000"/>
          <w:sz w:val="20"/>
          <w:szCs w:val="20"/>
          <w:lang w:val="sr-Cyrl-CS"/>
        </w:rPr>
        <w:t xml:space="preserve"> </w:t>
      </w:r>
      <w:r w:rsidRPr="00D95884">
        <w:rPr>
          <w:color w:val="000000"/>
          <w:sz w:val="20"/>
          <w:szCs w:val="20"/>
          <w:lang w:val="sr-Latn-CS"/>
        </w:rPr>
        <w:t>može koristiti kao primer korišćenja ustanovama sličnog karaktera</w:t>
      </w:r>
      <w:r>
        <w:rPr>
          <w:color w:val="000000"/>
          <w:sz w:val="20"/>
          <w:szCs w:val="20"/>
          <w:lang w:val="sr-Latn-CS"/>
        </w:rPr>
        <w:t>.</w:t>
      </w:r>
    </w:p>
    <w:p w:rsidR="00A33057" w:rsidRDefault="00A33057" w:rsidP="00A33057">
      <w:pPr>
        <w:jc w:val="both"/>
        <w:rPr>
          <w:b/>
          <w:color w:val="0070C0"/>
          <w:sz w:val="20"/>
        </w:rPr>
      </w:pPr>
    </w:p>
    <w:p w:rsidR="0089203A" w:rsidRPr="00514642" w:rsidRDefault="0089203A" w:rsidP="00A33057">
      <w:pPr>
        <w:jc w:val="both"/>
        <w:rPr>
          <w:b/>
          <w:color w:val="0070C0"/>
          <w:sz w:val="20"/>
        </w:rPr>
      </w:pPr>
    </w:p>
    <w:p w:rsidR="00A33057" w:rsidRPr="00B70DC5" w:rsidRDefault="00A33057" w:rsidP="00A33057">
      <w:pPr>
        <w:jc w:val="both"/>
        <w:rPr>
          <w:sz w:val="22"/>
          <w:szCs w:val="22"/>
          <w:lang w:val="de-DE"/>
        </w:rPr>
      </w:pPr>
      <w:r w:rsidRPr="00B70DC5">
        <w:rPr>
          <w:b/>
          <w:sz w:val="22"/>
          <w:szCs w:val="22"/>
          <w:lang w:val="de-DE"/>
        </w:rPr>
        <w:t>LITERATURA</w:t>
      </w:r>
    </w:p>
    <w:p w:rsidR="00A33057" w:rsidRPr="00B949B9" w:rsidRDefault="00A33057" w:rsidP="00A33057">
      <w:pPr>
        <w:jc w:val="both"/>
        <w:rPr>
          <w:sz w:val="20"/>
          <w:lang w:val="sr-Latn-CS"/>
        </w:rPr>
      </w:pPr>
    </w:p>
    <w:p w:rsidR="00F849C1" w:rsidRPr="00514642" w:rsidRDefault="00BD1548" w:rsidP="00F849C1">
      <w:pPr>
        <w:numPr>
          <w:ilvl w:val="0"/>
          <w:numId w:val="1"/>
        </w:numPr>
        <w:tabs>
          <w:tab w:val="clear" w:pos="720"/>
          <w:tab w:val="num" w:pos="360"/>
        </w:tabs>
        <w:ind w:hanging="720"/>
        <w:jc w:val="both"/>
        <w:rPr>
          <w:color w:val="0070C0"/>
          <w:sz w:val="20"/>
          <w:lang w:val="sr-Latn-CS"/>
        </w:rPr>
      </w:pPr>
      <w:hyperlink r:id="rId8" w:history="1">
        <w:r w:rsidR="00DB726E" w:rsidRPr="00514642">
          <w:rPr>
            <w:rStyle w:val="Hyperlink"/>
            <w:color w:val="0070C0"/>
            <w:sz w:val="20"/>
            <w:lang w:val="sr-Latn-CS"/>
          </w:rPr>
          <w:t>https://www.wmo.int/pages/index_en.html</w:t>
        </w:r>
      </w:hyperlink>
    </w:p>
    <w:p w:rsidR="00DB726E" w:rsidRPr="00F849C1" w:rsidRDefault="00BD1548" w:rsidP="00CC003F">
      <w:pPr>
        <w:numPr>
          <w:ilvl w:val="0"/>
          <w:numId w:val="1"/>
        </w:numPr>
        <w:tabs>
          <w:tab w:val="clear" w:pos="720"/>
        </w:tabs>
        <w:ind w:left="360"/>
        <w:jc w:val="both"/>
        <w:rPr>
          <w:color w:val="0070C0"/>
          <w:sz w:val="20"/>
          <w:lang w:val="de-DE"/>
        </w:rPr>
      </w:pPr>
      <w:hyperlink r:id="rId9" w:history="1">
        <w:r w:rsidR="00CC003F" w:rsidRPr="00F849C1">
          <w:rPr>
            <w:rStyle w:val="Hyperlink"/>
            <w:color w:val="0070C0"/>
            <w:sz w:val="20"/>
            <w:lang w:val="de-DE"/>
          </w:rPr>
          <w:t>http://www.unep.org</w:t>
        </w:r>
      </w:hyperlink>
    </w:p>
    <w:p w:rsidR="00CC003F" w:rsidRPr="00F849C1" w:rsidRDefault="00BD1548" w:rsidP="00CC003F">
      <w:pPr>
        <w:numPr>
          <w:ilvl w:val="0"/>
          <w:numId w:val="1"/>
        </w:numPr>
        <w:tabs>
          <w:tab w:val="clear" w:pos="720"/>
        </w:tabs>
        <w:ind w:left="360"/>
        <w:jc w:val="both"/>
        <w:rPr>
          <w:color w:val="0070C0"/>
          <w:sz w:val="20"/>
          <w:lang w:val="de-DE"/>
        </w:rPr>
      </w:pPr>
      <w:hyperlink r:id="rId10" w:history="1">
        <w:r w:rsidR="00CC003F" w:rsidRPr="00F849C1">
          <w:rPr>
            <w:rStyle w:val="Hyperlink"/>
            <w:color w:val="0070C0"/>
            <w:sz w:val="20"/>
            <w:lang w:val="de-DE"/>
          </w:rPr>
          <w:t>http://www.ipcc.ch</w:t>
        </w:r>
      </w:hyperlink>
    </w:p>
    <w:p w:rsidR="00CC003F" w:rsidRPr="00F849C1" w:rsidRDefault="00BD1548" w:rsidP="00B949B9">
      <w:pPr>
        <w:numPr>
          <w:ilvl w:val="0"/>
          <w:numId w:val="1"/>
        </w:numPr>
        <w:tabs>
          <w:tab w:val="clear" w:pos="720"/>
        </w:tabs>
        <w:ind w:left="360"/>
        <w:jc w:val="both"/>
        <w:rPr>
          <w:color w:val="0070C0"/>
          <w:sz w:val="20"/>
          <w:lang w:val="de-DE"/>
        </w:rPr>
      </w:pPr>
      <w:hyperlink r:id="rId11" w:history="1">
        <w:r w:rsidR="00B949B9" w:rsidRPr="00F849C1">
          <w:rPr>
            <w:rStyle w:val="Hyperlink"/>
            <w:color w:val="0070C0"/>
            <w:sz w:val="20"/>
            <w:lang w:val="de-DE"/>
          </w:rPr>
          <w:t>http://www.mre.gov.rs/doc/efikasnost-izvori/NAPOIE%20KONACNO%2028_jun_2013.pdf?uri=CELEX:32009L0028</w:t>
        </w:r>
      </w:hyperlink>
    </w:p>
    <w:p w:rsidR="00B949B9" w:rsidRPr="00F849C1" w:rsidRDefault="00BD1548" w:rsidP="00B949B9">
      <w:pPr>
        <w:numPr>
          <w:ilvl w:val="0"/>
          <w:numId w:val="1"/>
        </w:numPr>
        <w:tabs>
          <w:tab w:val="clear" w:pos="720"/>
        </w:tabs>
        <w:ind w:left="360"/>
        <w:jc w:val="both"/>
        <w:rPr>
          <w:color w:val="0070C0"/>
          <w:sz w:val="20"/>
          <w:lang w:val="de-DE"/>
        </w:rPr>
      </w:pPr>
      <w:hyperlink r:id="rId12" w:history="1">
        <w:r w:rsidR="00B949B9" w:rsidRPr="00F849C1">
          <w:rPr>
            <w:rStyle w:val="Hyperlink"/>
            <w:color w:val="0070C0"/>
            <w:sz w:val="20"/>
            <w:lang w:val="de-DE"/>
          </w:rPr>
          <w:t>https://www.iea.org</w:t>
        </w:r>
      </w:hyperlink>
    </w:p>
    <w:p w:rsidR="00B949B9" w:rsidRPr="00F849C1" w:rsidRDefault="00BD1548" w:rsidP="00B949B9">
      <w:pPr>
        <w:numPr>
          <w:ilvl w:val="0"/>
          <w:numId w:val="1"/>
        </w:numPr>
        <w:tabs>
          <w:tab w:val="clear" w:pos="720"/>
        </w:tabs>
        <w:ind w:left="360"/>
        <w:jc w:val="both"/>
        <w:rPr>
          <w:color w:val="0070C0"/>
          <w:sz w:val="20"/>
          <w:lang w:val="de-DE"/>
        </w:rPr>
      </w:pPr>
      <w:hyperlink r:id="rId13" w:history="1">
        <w:r w:rsidR="00B949B9" w:rsidRPr="00F849C1">
          <w:rPr>
            <w:rStyle w:val="Hyperlink"/>
            <w:color w:val="0070C0"/>
            <w:sz w:val="20"/>
            <w:lang w:val="de-DE"/>
          </w:rPr>
          <w:t>http://eur-lex.europa.eu/legal-content/EN/ALL/?uri=celex%3A32009L0028</w:t>
        </w:r>
      </w:hyperlink>
    </w:p>
    <w:p w:rsidR="00B949B9" w:rsidRPr="0006060C" w:rsidRDefault="00B949B9" w:rsidP="00B949B9">
      <w:pPr>
        <w:numPr>
          <w:ilvl w:val="0"/>
          <w:numId w:val="1"/>
        </w:numPr>
        <w:tabs>
          <w:tab w:val="clear" w:pos="720"/>
        </w:tabs>
        <w:ind w:left="360"/>
        <w:jc w:val="both"/>
        <w:rPr>
          <w:sz w:val="20"/>
          <w:lang w:val="de-DE"/>
        </w:rPr>
      </w:pPr>
      <w:r w:rsidRPr="0006060C">
        <w:rPr>
          <w:sz w:val="20"/>
          <w:lang w:val="de-DE"/>
        </w:rPr>
        <w:t xml:space="preserve">PONOĆKO, M., VUJIČIN, K.: </w:t>
      </w:r>
      <w:r w:rsidRPr="0006060C">
        <w:rPr>
          <w:i/>
          <w:sz w:val="20"/>
          <w:lang w:val="de-DE"/>
        </w:rPr>
        <w:t>Projekat mašinskih isntalacija – Solarni kolektori sa sistemom za grejanje sanitarne vode</w:t>
      </w:r>
      <w:r w:rsidRPr="0006060C">
        <w:rPr>
          <w:sz w:val="20"/>
          <w:lang w:val="de-DE"/>
        </w:rPr>
        <w:t>, Gerontološki centar „Srem“, Ruma, Republika Srbija, 2015</w:t>
      </w:r>
      <w:r w:rsidR="0006060C" w:rsidRPr="0006060C">
        <w:rPr>
          <w:sz w:val="20"/>
          <w:lang w:val="de-DE"/>
        </w:rPr>
        <w:t>.</w:t>
      </w:r>
    </w:p>
    <w:p w:rsidR="00EE11F4" w:rsidRPr="00514642" w:rsidRDefault="00B949B9" w:rsidP="0006060C">
      <w:pPr>
        <w:numPr>
          <w:ilvl w:val="0"/>
          <w:numId w:val="1"/>
        </w:numPr>
        <w:tabs>
          <w:tab w:val="clear" w:pos="720"/>
        </w:tabs>
        <w:ind w:left="360"/>
        <w:jc w:val="both"/>
        <w:rPr>
          <w:lang w:val="de-DE"/>
        </w:rPr>
      </w:pPr>
      <w:r w:rsidRPr="0006060C">
        <w:rPr>
          <w:sz w:val="20"/>
          <w:lang w:val="de-DE"/>
        </w:rPr>
        <w:t xml:space="preserve">PONOĆKO, M., VUJIČIN, K.: </w:t>
      </w:r>
      <w:r w:rsidR="0006060C" w:rsidRPr="0006060C">
        <w:rPr>
          <w:i/>
          <w:sz w:val="20"/>
          <w:lang w:val="de-DE"/>
        </w:rPr>
        <w:t>Elaborat tehno-ekonomska analiza postrojenja za grejanje vode sunčevom energijom</w:t>
      </w:r>
      <w:r w:rsidR="0006060C" w:rsidRPr="0006060C">
        <w:rPr>
          <w:sz w:val="20"/>
          <w:lang w:val="de-DE"/>
        </w:rPr>
        <w:t>, Gerontološki centar „Srem“, Ruma, Republika Srbija, 2015.</w:t>
      </w:r>
      <w:r w:rsidR="0006060C" w:rsidRPr="00514642">
        <w:rPr>
          <w:lang w:val="de-DE"/>
        </w:rPr>
        <w:t xml:space="preserve"> </w:t>
      </w:r>
    </w:p>
    <w:sectPr w:rsidR="00EE11F4" w:rsidRPr="00514642" w:rsidSect="00C547EF">
      <w:headerReference w:type="default" r:id="rId14"/>
      <w:footerReference w:type="default" r:id="rId15"/>
      <w:pgSz w:w="11907" w:h="16840" w:code="9"/>
      <w:pgMar w:top="1134" w:right="1134" w:bottom="1134" w:left="1134" w:header="709" w:footer="709"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A0" w:rsidRDefault="00FF5CA0">
      <w:r>
        <w:separator/>
      </w:r>
    </w:p>
  </w:endnote>
  <w:endnote w:type="continuationSeparator" w:id="1">
    <w:p w:rsidR="00FF5CA0" w:rsidRDefault="00FF5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514642" w:rsidTr="00D079CC">
      <w:trPr>
        <w:trHeight w:val="100"/>
      </w:trPr>
      <w:tc>
        <w:tcPr>
          <w:tcW w:w="9639" w:type="dxa"/>
        </w:tcPr>
        <w:p w:rsidR="00514642" w:rsidRDefault="00514642" w:rsidP="00D079CC">
          <w:pPr>
            <w:pStyle w:val="Footer"/>
            <w:jc w:val="right"/>
          </w:pPr>
          <w:r>
            <w:t>6</w:t>
          </w:r>
          <w:r w:rsidRPr="007E43D7">
            <w:t xml:space="preserve"> - </w:t>
          </w:r>
          <w:fldSimple w:instr=" PAGE   \* MERGEFORMAT ">
            <w:r w:rsidR="00FF5CA0">
              <w:rPr>
                <w:noProof/>
              </w:rPr>
              <w:t>70</w:t>
            </w:r>
          </w:fldSimple>
        </w:p>
      </w:tc>
    </w:tr>
  </w:tbl>
  <w:p w:rsidR="00514642" w:rsidRDefault="00514642" w:rsidP="00514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A0" w:rsidRDefault="00FF5CA0">
      <w:r>
        <w:separator/>
      </w:r>
    </w:p>
  </w:footnote>
  <w:footnote w:type="continuationSeparator" w:id="1">
    <w:p w:rsidR="00FF5CA0" w:rsidRDefault="00FF5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42" w:rsidRDefault="00BD1548" w:rsidP="00514642">
    <w:pPr>
      <w:pStyle w:val="Header"/>
    </w:pPr>
    <w:r>
      <w:rPr>
        <w:noProof/>
      </w:rPr>
      <w:pict>
        <v:group id="Group 1" o:spid="_x0000_s2049" style="position:absolute;margin-left:1.05pt;margin-top:-32.15pt;width:482.2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14642" w:rsidRDefault="00514642" w:rsidP="00514642"/>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14642" w:rsidRDefault="00514642" w:rsidP="0051464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14642" w:rsidRDefault="00514642" w:rsidP="0051464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14642" w:rsidRDefault="00514642" w:rsidP="0051464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14642">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14642" w:rsidRDefault="00514642" w:rsidP="00514642">
    <w:pPr>
      <w:pStyle w:val="Header"/>
    </w:pPr>
  </w:p>
  <w:p w:rsidR="00514642" w:rsidRDefault="00514642" w:rsidP="005146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B4406A"/>
    <w:multiLevelType w:val="hybridMultilevel"/>
    <w:tmpl w:val="C4AEEE32"/>
    <w:lvl w:ilvl="0" w:tplc="B8F2B86E">
      <w:start w:val="7"/>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06060C"/>
    <w:rsid w:val="0008172A"/>
    <w:rsid w:val="00090B9D"/>
    <w:rsid w:val="00094C8D"/>
    <w:rsid w:val="000F0E06"/>
    <w:rsid w:val="00101134"/>
    <w:rsid w:val="00101F36"/>
    <w:rsid w:val="00162F02"/>
    <w:rsid w:val="00220BE7"/>
    <w:rsid w:val="0026331E"/>
    <w:rsid w:val="002803E2"/>
    <w:rsid w:val="002E4140"/>
    <w:rsid w:val="002F4283"/>
    <w:rsid w:val="003239C7"/>
    <w:rsid w:val="00332E2B"/>
    <w:rsid w:val="003B0AA8"/>
    <w:rsid w:val="004A2713"/>
    <w:rsid w:val="004B5C08"/>
    <w:rsid w:val="004F02AA"/>
    <w:rsid w:val="00510063"/>
    <w:rsid w:val="00514642"/>
    <w:rsid w:val="00515E91"/>
    <w:rsid w:val="0057414F"/>
    <w:rsid w:val="005F350C"/>
    <w:rsid w:val="00636984"/>
    <w:rsid w:val="00642673"/>
    <w:rsid w:val="0067084D"/>
    <w:rsid w:val="00682F46"/>
    <w:rsid w:val="00686783"/>
    <w:rsid w:val="006A7C66"/>
    <w:rsid w:val="00725C5D"/>
    <w:rsid w:val="007360AC"/>
    <w:rsid w:val="007872FC"/>
    <w:rsid w:val="007B10D7"/>
    <w:rsid w:val="007B50BB"/>
    <w:rsid w:val="007D0811"/>
    <w:rsid w:val="00832035"/>
    <w:rsid w:val="00847A6B"/>
    <w:rsid w:val="0089203A"/>
    <w:rsid w:val="008D34B4"/>
    <w:rsid w:val="008E0662"/>
    <w:rsid w:val="008F5D47"/>
    <w:rsid w:val="009B07CE"/>
    <w:rsid w:val="009B35C3"/>
    <w:rsid w:val="009C6A7C"/>
    <w:rsid w:val="009E0F38"/>
    <w:rsid w:val="009E65B9"/>
    <w:rsid w:val="00A0041E"/>
    <w:rsid w:val="00A109E2"/>
    <w:rsid w:val="00A30E59"/>
    <w:rsid w:val="00A33057"/>
    <w:rsid w:val="00A42761"/>
    <w:rsid w:val="00A6050B"/>
    <w:rsid w:val="00A67C05"/>
    <w:rsid w:val="00A8372D"/>
    <w:rsid w:val="00AA6A0B"/>
    <w:rsid w:val="00AE2D62"/>
    <w:rsid w:val="00AE40C0"/>
    <w:rsid w:val="00B60209"/>
    <w:rsid w:val="00B64A50"/>
    <w:rsid w:val="00B70DC5"/>
    <w:rsid w:val="00B949B9"/>
    <w:rsid w:val="00BC13B8"/>
    <w:rsid w:val="00BD1548"/>
    <w:rsid w:val="00C4466D"/>
    <w:rsid w:val="00C547EF"/>
    <w:rsid w:val="00C66D39"/>
    <w:rsid w:val="00CC003F"/>
    <w:rsid w:val="00CC6C9B"/>
    <w:rsid w:val="00D3297C"/>
    <w:rsid w:val="00D4239D"/>
    <w:rsid w:val="00D4383A"/>
    <w:rsid w:val="00D5477A"/>
    <w:rsid w:val="00DB726E"/>
    <w:rsid w:val="00DD1FE6"/>
    <w:rsid w:val="00DD3463"/>
    <w:rsid w:val="00E530D2"/>
    <w:rsid w:val="00E9305C"/>
    <w:rsid w:val="00E94F30"/>
    <w:rsid w:val="00EC7A3D"/>
    <w:rsid w:val="00EE11F4"/>
    <w:rsid w:val="00F255E2"/>
    <w:rsid w:val="00F346B0"/>
    <w:rsid w:val="00F849C1"/>
    <w:rsid w:val="00FC284E"/>
    <w:rsid w:val="00FF5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link w:val="BodyText3Char"/>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BodyText3Char">
    <w:name w:val="Body Text 3 Char"/>
    <w:link w:val="BodyText3"/>
    <w:rsid w:val="00DD1FE6"/>
    <w:rPr>
      <w:sz w:val="16"/>
      <w:szCs w:val="16"/>
      <w:lang w:val="en-US" w:eastAsia="en-US"/>
    </w:rPr>
  </w:style>
  <w:style w:type="paragraph" w:styleId="ListParagraph">
    <w:name w:val="List Paragraph"/>
    <w:basedOn w:val="Normal"/>
    <w:uiPriority w:val="34"/>
    <w:qFormat/>
    <w:rsid w:val="00090B9D"/>
    <w:pPr>
      <w:ind w:left="720"/>
      <w:contextualSpacing/>
    </w:pPr>
    <w:rPr>
      <w:sz w:val="22"/>
      <w:szCs w:val="22"/>
    </w:rPr>
  </w:style>
  <w:style w:type="character" w:customStyle="1" w:styleId="UnresolvedMention">
    <w:name w:val="Unresolved Mention"/>
    <w:uiPriority w:val="99"/>
    <w:semiHidden/>
    <w:unhideWhenUsed/>
    <w:rsid w:val="00DB726E"/>
    <w:rPr>
      <w:color w:val="808080"/>
      <w:shd w:val="clear" w:color="auto" w:fill="E6E6E6"/>
    </w:rPr>
  </w:style>
  <w:style w:type="paragraph" w:styleId="Header">
    <w:name w:val="header"/>
    <w:basedOn w:val="Normal"/>
    <w:link w:val="HeaderChar"/>
    <w:uiPriority w:val="99"/>
    <w:rsid w:val="00514642"/>
    <w:pPr>
      <w:tabs>
        <w:tab w:val="center" w:pos="4680"/>
        <w:tab w:val="right" w:pos="9360"/>
      </w:tabs>
    </w:pPr>
  </w:style>
  <w:style w:type="character" w:customStyle="1" w:styleId="HeaderChar">
    <w:name w:val="Header Char"/>
    <w:basedOn w:val="DefaultParagraphFont"/>
    <w:link w:val="Header"/>
    <w:uiPriority w:val="99"/>
    <w:rsid w:val="00514642"/>
    <w:rPr>
      <w:sz w:val="24"/>
      <w:szCs w:val="24"/>
    </w:rPr>
  </w:style>
  <w:style w:type="paragraph" w:styleId="Footer">
    <w:name w:val="footer"/>
    <w:basedOn w:val="Normal"/>
    <w:link w:val="FooterChar"/>
    <w:uiPriority w:val="99"/>
    <w:rsid w:val="00514642"/>
    <w:pPr>
      <w:tabs>
        <w:tab w:val="center" w:pos="4680"/>
        <w:tab w:val="right" w:pos="9360"/>
      </w:tabs>
    </w:pPr>
  </w:style>
  <w:style w:type="character" w:customStyle="1" w:styleId="FooterChar">
    <w:name w:val="Footer Char"/>
    <w:basedOn w:val="DefaultParagraphFont"/>
    <w:link w:val="Footer"/>
    <w:uiPriority w:val="99"/>
    <w:rsid w:val="00514642"/>
    <w:rPr>
      <w:sz w:val="24"/>
      <w:szCs w:val="24"/>
    </w:rPr>
  </w:style>
  <w:style w:type="paragraph" w:styleId="NoSpacing">
    <w:name w:val="No Spacing"/>
    <w:uiPriority w:val="1"/>
    <w:qFormat/>
    <w:rsid w:val="00514642"/>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233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o.int/pages/index_en.html" TargetMode="External"/><Relationship Id="rId13" Type="http://schemas.openxmlformats.org/officeDocument/2006/relationships/hyperlink" Target="http://eur-lex.europa.eu/legal-content/EN/ALL/?uri=celex%3A32009L0028"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ie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e.gov.rs/doc/efikasnost-izvori/NAPOIE%20KONACNO%2028_jun_2013.pdf?uri=CELEX:32009L00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pcc.ch" TargetMode="External"/><Relationship Id="rId4" Type="http://schemas.openxmlformats.org/officeDocument/2006/relationships/webSettings" Target="webSettings.xml"/><Relationship Id="rId9" Type="http://schemas.openxmlformats.org/officeDocument/2006/relationships/hyperlink" Target="http://www.unep.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9"/>
  <c:clrMapOvr bg1="lt1" tx1="dk1" bg2="lt2" tx2="dk2" accent1="accent1" accent2="accent2" accent3="accent3" accent4="accent4" accent5="accent5" accent6="accent6" hlink="hlink" folHlink="folHlink"/>
  <c:chart>
    <c:title>
      <c:tx>
        <c:rich>
          <a:bodyPr/>
          <a:lstStyle/>
          <a:p>
            <a:pPr>
              <a:defRPr/>
            </a:pPr>
            <a:r>
              <a:rPr lang="en-US"/>
              <a:t>Konstrukcija ulaganja</a:t>
            </a:r>
          </a:p>
        </c:rich>
      </c:tx>
    </c:title>
    <c:view3D>
      <c:rotX val="30"/>
      <c:perspective val="30"/>
    </c:view3D>
    <c:plotArea>
      <c:layout/>
      <c:pie3DChart>
        <c:varyColors val="1"/>
        <c:ser>
          <c:idx val="0"/>
          <c:order val="0"/>
          <c:dLbls>
            <c:dLbl>
              <c:idx val="0"/>
              <c:tx>
                <c:rich>
                  <a:bodyPr/>
                  <a:lstStyle/>
                  <a:p>
                    <a:r>
                      <a:rPr lang="en-US"/>
                      <a:t>Gerontološki</a:t>
                    </a:r>
                    <a:r>
                      <a:rPr lang="en-US" baseline="0"/>
                      <a:t>  centar ,,Srem''</a:t>
                    </a:r>
                    <a:r>
                      <a:rPr lang="en-US"/>
                      <a:t>
20%</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F52-4885-A395-6AFE6EA3998F}"/>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Sheet1!$H$11:$I$11</c:f>
              <c:strCache>
                <c:ptCount val="2"/>
                <c:pt idx="0">
                  <c:v>Gerontoloski centar</c:v>
                </c:pt>
                <c:pt idx="1">
                  <c:v>Pokrajinski sekretarijat </c:v>
                </c:pt>
              </c:strCache>
            </c:strRef>
          </c:cat>
          <c:val>
            <c:numRef>
              <c:f>Sheet1!$H$12:$I$12</c:f>
              <c:numCache>
                <c:formatCode>General</c:formatCode>
                <c:ptCount val="2"/>
                <c:pt idx="0">
                  <c:v>20</c:v>
                </c:pt>
                <c:pt idx="1">
                  <c:v>80</c:v>
                </c:pt>
              </c:numCache>
            </c:numRef>
          </c:val>
          <c:extLst xmlns:c16r2="http://schemas.microsoft.com/office/drawing/2015/06/chart">
            <c:ext xmlns:c16="http://schemas.microsoft.com/office/drawing/2014/chart" uri="{C3380CC4-5D6E-409C-BE32-E72D297353CC}">
              <c16:uniqueId val="{00000001-5F52-4885-A395-6AFE6EA3998F}"/>
            </c:ext>
          </c:extLst>
        </c:ser>
        <c:dLbls>
          <c:showCatName val="1"/>
          <c:showPercent val="1"/>
        </c:dLbls>
      </c:pie3DChart>
    </c:plotArea>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15347</CharactersWithSpaces>
  <SharedDoc>false</SharedDoc>
  <HLinks>
    <vt:vector size="36" baseType="variant">
      <vt:variant>
        <vt:i4>393297</vt:i4>
      </vt:variant>
      <vt:variant>
        <vt:i4>15</vt:i4>
      </vt:variant>
      <vt:variant>
        <vt:i4>0</vt:i4>
      </vt:variant>
      <vt:variant>
        <vt:i4>5</vt:i4>
      </vt:variant>
      <vt:variant>
        <vt:lpwstr>http://eur-lex.europa.eu/legal-content/EN/ALL/?uri=celex%3A32009L0028</vt:lpwstr>
      </vt:variant>
      <vt:variant>
        <vt:lpwstr/>
      </vt:variant>
      <vt:variant>
        <vt:i4>6160448</vt:i4>
      </vt:variant>
      <vt:variant>
        <vt:i4>12</vt:i4>
      </vt:variant>
      <vt:variant>
        <vt:i4>0</vt:i4>
      </vt:variant>
      <vt:variant>
        <vt:i4>5</vt:i4>
      </vt:variant>
      <vt:variant>
        <vt:lpwstr>https://www.iea.org/</vt:lpwstr>
      </vt:variant>
      <vt:variant>
        <vt:lpwstr/>
      </vt:variant>
      <vt:variant>
        <vt:i4>7012462</vt:i4>
      </vt:variant>
      <vt:variant>
        <vt:i4>9</vt:i4>
      </vt:variant>
      <vt:variant>
        <vt:i4>0</vt:i4>
      </vt:variant>
      <vt:variant>
        <vt:i4>5</vt:i4>
      </vt:variant>
      <vt:variant>
        <vt:lpwstr>http://www.mre.gov.rs/doc/efikasnost-izvori/NAPOIE KONACNO 28_jun_2013.pdf?uri=CELEX:32009L0028</vt:lpwstr>
      </vt:variant>
      <vt:variant>
        <vt:lpwstr/>
      </vt:variant>
      <vt:variant>
        <vt:i4>6750240</vt:i4>
      </vt:variant>
      <vt:variant>
        <vt:i4>6</vt:i4>
      </vt:variant>
      <vt:variant>
        <vt:i4>0</vt:i4>
      </vt:variant>
      <vt:variant>
        <vt:i4>5</vt:i4>
      </vt:variant>
      <vt:variant>
        <vt:lpwstr>http://www.ipcc.ch/</vt:lpwstr>
      </vt:variant>
      <vt:variant>
        <vt:lpwstr/>
      </vt:variant>
      <vt:variant>
        <vt:i4>4718662</vt:i4>
      </vt:variant>
      <vt:variant>
        <vt:i4>3</vt:i4>
      </vt:variant>
      <vt:variant>
        <vt:i4>0</vt:i4>
      </vt:variant>
      <vt:variant>
        <vt:i4>5</vt:i4>
      </vt:variant>
      <vt:variant>
        <vt:lpwstr>http://www.unep.org/</vt:lpwstr>
      </vt:variant>
      <vt:variant>
        <vt:lpwstr/>
      </vt:variant>
      <vt:variant>
        <vt:i4>6160491</vt:i4>
      </vt:variant>
      <vt:variant>
        <vt:i4>0</vt:i4>
      </vt:variant>
      <vt:variant>
        <vt:i4>0</vt:i4>
      </vt:variant>
      <vt:variant>
        <vt:i4>5</vt:i4>
      </vt:variant>
      <vt:variant>
        <vt:lpwstr>https://www.wmo.int/pages/index_en.html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5</cp:revision>
  <dcterms:created xsi:type="dcterms:W3CDTF">2017-10-13T12:00:00Z</dcterms:created>
  <dcterms:modified xsi:type="dcterms:W3CDTF">2017-10-13T12:23:00Z</dcterms:modified>
</cp:coreProperties>
</file>