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400" w:rsidRDefault="00326400" w:rsidP="00725C5D">
      <w:pPr>
        <w:pStyle w:val="BodyText3"/>
        <w:spacing w:after="0"/>
        <w:jc w:val="center"/>
        <w:rPr>
          <w:b/>
          <w:sz w:val="28"/>
          <w:szCs w:val="28"/>
        </w:rPr>
      </w:pPr>
    </w:p>
    <w:p w:rsidR="00326400" w:rsidRDefault="00326400" w:rsidP="00725C5D">
      <w:pPr>
        <w:pStyle w:val="BodyText3"/>
        <w:spacing w:after="0"/>
        <w:jc w:val="center"/>
        <w:rPr>
          <w:b/>
          <w:sz w:val="28"/>
          <w:szCs w:val="28"/>
        </w:rPr>
      </w:pPr>
    </w:p>
    <w:p w:rsidR="00326400" w:rsidRDefault="00326400" w:rsidP="00725C5D">
      <w:pPr>
        <w:pStyle w:val="BodyText3"/>
        <w:spacing w:after="0"/>
        <w:jc w:val="center"/>
        <w:rPr>
          <w:b/>
          <w:sz w:val="28"/>
          <w:szCs w:val="28"/>
        </w:rPr>
      </w:pPr>
    </w:p>
    <w:p w:rsidR="00326400" w:rsidRDefault="00326400" w:rsidP="00725C5D">
      <w:pPr>
        <w:pStyle w:val="BodyText3"/>
        <w:spacing w:after="0"/>
        <w:jc w:val="center"/>
        <w:rPr>
          <w:b/>
          <w:sz w:val="28"/>
          <w:szCs w:val="28"/>
        </w:rPr>
      </w:pPr>
    </w:p>
    <w:p w:rsidR="00326400" w:rsidRDefault="00326400" w:rsidP="00725C5D">
      <w:pPr>
        <w:pStyle w:val="BodyText3"/>
        <w:spacing w:after="0"/>
        <w:jc w:val="center"/>
        <w:rPr>
          <w:b/>
          <w:sz w:val="28"/>
          <w:szCs w:val="28"/>
        </w:rPr>
      </w:pPr>
    </w:p>
    <w:p w:rsidR="00326400" w:rsidRDefault="00326400" w:rsidP="00725C5D">
      <w:pPr>
        <w:pStyle w:val="BodyText3"/>
        <w:spacing w:after="0"/>
        <w:jc w:val="center"/>
        <w:rPr>
          <w:b/>
          <w:sz w:val="28"/>
          <w:szCs w:val="28"/>
        </w:rPr>
      </w:pPr>
    </w:p>
    <w:p w:rsidR="00326400" w:rsidRDefault="00326400" w:rsidP="00725C5D">
      <w:pPr>
        <w:pStyle w:val="BodyText3"/>
        <w:spacing w:after="0"/>
        <w:jc w:val="center"/>
        <w:rPr>
          <w:b/>
          <w:sz w:val="28"/>
          <w:szCs w:val="28"/>
        </w:rPr>
      </w:pPr>
    </w:p>
    <w:p w:rsidR="00725C5D" w:rsidRPr="00710E42" w:rsidRDefault="00326400" w:rsidP="00725C5D">
      <w:pPr>
        <w:pStyle w:val="BodyText3"/>
        <w:spacing w:after="0"/>
        <w:jc w:val="center"/>
        <w:rPr>
          <w:b/>
          <w:sz w:val="28"/>
          <w:szCs w:val="28"/>
        </w:rPr>
      </w:pPr>
      <w:r w:rsidRPr="00326400">
        <w:rPr>
          <w:b/>
          <w:sz w:val="28"/>
          <w:szCs w:val="28"/>
        </w:rPr>
        <w:t>COMPARISON OF ENVIRONMENTAL IMPACT OF WASTE TECHNOLOGY WITH ENERGY RECOVERY: CASE STUDY CITY OF NIŠ</w:t>
      </w:r>
    </w:p>
    <w:p w:rsidR="00725C5D" w:rsidRPr="006D08EE" w:rsidRDefault="00725C5D" w:rsidP="00725C5D">
      <w:pPr>
        <w:jc w:val="center"/>
        <w:rPr>
          <w:i/>
          <w:sz w:val="20"/>
        </w:rPr>
      </w:pPr>
    </w:p>
    <w:p w:rsidR="00725C5D" w:rsidRPr="00710E42" w:rsidRDefault="00B64A50" w:rsidP="00725C5D">
      <w:pPr>
        <w:jc w:val="center"/>
        <w:rPr>
          <w:b/>
          <w:sz w:val="22"/>
          <w:szCs w:val="22"/>
        </w:rPr>
      </w:pPr>
      <w:r w:rsidRPr="006D08EE">
        <w:rPr>
          <w:b/>
          <w:sz w:val="22"/>
          <w:szCs w:val="22"/>
        </w:rPr>
        <w:t xml:space="preserve">Dr </w:t>
      </w:r>
      <w:r w:rsidR="00326400" w:rsidRPr="006D08EE">
        <w:rPr>
          <w:b/>
          <w:sz w:val="22"/>
          <w:szCs w:val="22"/>
        </w:rPr>
        <w:t>Biljana Milutinović</w:t>
      </w:r>
      <w:r w:rsidR="00725C5D" w:rsidRPr="006D08EE">
        <w:rPr>
          <w:b/>
          <w:sz w:val="22"/>
          <w:szCs w:val="22"/>
          <w:vertAlign w:val="superscript"/>
        </w:rPr>
        <w:t>1</w:t>
      </w:r>
      <w:r w:rsidRPr="006D08EE">
        <w:rPr>
          <w:b/>
          <w:sz w:val="22"/>
          <w:szCs w:val="22"/>
        </w:rPr>
        <w:t xml:space="preserve">; </w:t>
      </w:r>
      <w:r w:rsidR="00326400" w:rsidRPr="006D08EE">
        <w:rPr>
          <w:b/>
          <w:sz w:val="22"/>
          <w:szCs w:val="22"/>
        </w:rPr>
        <w:t>D</w:t>
      </w:r>
      <w:r w:rsidRPr="006D08EE">
        <w:rPr>
          <w:b/>
          <w:sz w:val="22"/>
          <w:szCs w:val="22"/>
        </w:rPr>
        <w:t xml:space="preserve">r </w:t>
      </w:r>
      <w:r w:rsidR="00326400" w:rsidRPr="006D08EE">
        <w:rPr>
          <w:b/>
          <w:sz w:val="22"/>
          <w:szCs w:val="22"/>
        </w:rPr>
        <w:t>Mladen Tomić</w:t>
      </w:r>
      <w:r w:rsidR="00725C5D" w:rsidRPr="006D08EE">
        <w:rPr>
          <w:b/>
          <w:sz w:val="22"/>
          <w:szCs w:val="22"/>
          <w:vertAlign w:val="superscript"/>
        </w:rPr>
        <w:t>2</w:t>
      </w:r>
      <w:r w:rsidRPr="006D08EE">
        <w:rPr>
          <w:b/>
          <w:sz w:val="22"/>
          <w:szCs w:val="22"/>
        </w:rPr>
        <w:t xml:space="preserve">; </w:t>
      </w:r>
      <w:r w:rsidR="00326400" w:rsidRPr="006D08EE">
        <w:rPr>
          <w:b/>
          <w:sz w:val="22"/>
          <w:szCs w:val="22"/>
        </w:rPr>
        <w:t>Petar Đekić</w:t>
      </w:r>
      <w:r w:rsidR="00326400" w:rsidRPr="006D08EE">
        <w:rPr>
          <w:b/>
          <w:sz w:val="22"/>
          <w:szCs w:val="22"/>
          <w:vertAlign w:val="superscript"/>
        </w:rPr>
        <w:t>3</w:t>
      </w:r>
      <w:r w:rsidR="00725C5D" w:rsidRPr="006D08EE">
        <w:rPr>
          <w:b/>
          <w:sz w:val="22"/>
          <w:szCs w:val="22"/>
        </w:rPr>
        <w:t xml:space="preserve"> </w:t>
      </w:r>
    </w:p>
    <w:p w:rsidR="00725C5D" w:rsidRDefault="00725C5D" w:rsidP="00725C5D">
      <w:pPr>
        <w:jc w:val="center"/>
        <w:rPr>
          <w:sz w:val="20"/>
        </w:rPr>
      </w:pPr>
      <w:r>
        <w:rPr>
          <w:sz w:val="20"/>
          <w:vertAlign w:val="superscript"/>
        </w:rPr>
        <w:t>1</w:t>
      </w:r>
      <w:r>
        <w:rPr>
          <w:sz w:val="20"/>
        </w:rPr>
        <w:t xml:space="preserve"> </w:t>
      </w:r>
      <w:r w:rsidR="00326400" w:rsidRPr="00326400">
        <w:rPr>
          <w:sz w:val="20"/>
        </w:rPr>
        <w:t xml:space="preserve">College of Applied Technical Sciences Niš, Niš, Serbia, email: </w:t>
      </w:r>
      <w:hyperlink r:id="rId7" w:history="1">
        <w:r w:rsidR="00326400" w:rsidRPr="00326400">
          <w:rPr>
            <w:rStyle w:val="Hyperlink"/>
            <w:sz w:val="20"/>
          </w:rPr>
          <w:t>biljana.milutinovic@vtsnis.edu.rs</w:t>
        </w:r>
      </w:hyperlink>
    </w:p>
    <w:p w:rsidR="00725C5D" w:rsidRDefault="00725C5D" w:rsidP="00725C5D">
      <w:pPr>
        <w:jc w:val="center"/>
        <w:rPr>
          <w:sz w:val="20"/>
        </w:rPr>
      </w:pPr>
      <w:r>
        <w:rPr>
          <w:sz w:val="20"/>
          <w:vertAlign w:val="superscript"/>
        </w:rPr>
        <w:t>2</w:t>
      </w:r>
      <w:r>
        <w:rPr>
          <w:sz w:val="20"/>
        </w:rPr>
        <w:t xml:space="preserve"> </w:t>
      </w:r>
      <w:r w:rsidR="00326400" w:rsidRPr="00326400">
        <w:rPr>
          <w:sz w:val="20"/>
        </w:rPr>
        <w:t xml:space="preserve">College of Applied Technical Sciences Niš, Niš, Serbia, email: </w:t>
      </w:r>
      <w:hyperlink r:id="rId8" w:history="1">
        <w:r w:rsidR="00326400" w:rsidRPr="00326400">
          <w:rPr>
            <w:rStyle w:val="Hyperlink"/>
            <w:sz w:val="20"/>
          </w:rPr>
          <w:t>mladen.tomic@vtsnis.edu.rs</w:t>
        </w:r>
      </w:hyperlink>
    </w:p>
    <w:p w:rsidR="00326400" w:rsidRDefault="00326400" w:rsidP="00725C5D">
      <w:pPr>
        <w:jc w:val="center"/>
        <w:rPr>
          <w:sz w:val="20"/>
        </w:rPr>
      </w:pPr>
      <w:r>
        <w:rPr>
          <w:sz w:val="20"/>
          <w:vertAlign w:val="superscript"/>
        </w:rPr>
        <w:t>3</w:t>
      </w:r>
      <w:r>
        <w:rPr>
          <w:sz w:val="20"/>
        </w:rPr>
        <w:t xml:space="preserve"> </w:t>
      </w:r>
      <w:r w:rsidRPr="00326400">
        <w:rPr>
          <w:sz w:val="20"/>
        </w:rPr>
        <w:t>College of Applied Technical Sciences Niš, Niš, Serbia, email:</w:t>
      </w:r>
      <w:r>
        <w:rPr>
          <w:sz w:val="20"/>
        </w:rPr>
        <w:t xml:space="preserve"> </w:t>
      </w:r>
      <w:hyperlink r:id="rId9" w:history="1">
        <w:r w:rsidRPr="00326400">
          <w:rPr>
            <w:rStyle w:val="Hyperlink"/>
            <w:sz w:val="20"/>
          </w:rPr>
          <w:t>petar.djekic@vtsnis.edu.rs</w:t>
        </w:r>
      </w:hyperlink>
    </w:p>
    <w:p w:rsidR="00725C5D" w:rsidRPr="003B0AA8" w:rsidRDefault="00725C5D" w:rsidP="00725C5D">
      <w:pPr>
        <w:jc w:val="center"/>
        <w:rPr>
          <w:i/>
          <w:sz w:val="20"/>
        </w:rPr>
      </w:pPr>
    </w:p>
    <w:p w:rsidR="00725C5D" w:rsidRDefault="00725C5D" w:rsidP="00725C5D">
      <w:pPr>
        <w:jc w:val="center"/>
        <w:rPr>
          <w:sz w:val="20"/>
        </w:rPr>
      </w:pPr>
    </w:p>
    <w:p w:rsidR="00D4383A" w:rsidRPr="007872FC" w:rsidRDefault="00326400" w:rsidP="00326400">
      <w:pPr>
        <w:jc w:val="both"/>
        <w:rPr>
          <w:i/>
          <w:sz w:val="18"/>
          <w:szCs w:val="18"/>
          <w:lang w:val="sr-Latn-CS"/>
        </w:rPr>
      </w:pPr>
      <w:r>
        <w:rPr>
          <w:b/>
          <w:i/>
          <w:sz w:val="18"/>
        </w:rPr>
        <w:t>Abstract</w:t>
      </w:r>
      <w:r w:rsidR="00725C5D">
        <w:rPr>
          <w:b/>
          <w:i/>
          <w:sz w:val="18"/>
        </w:rPr>
        <w:t>:</w:t>
      </w:r>
      <w:r w:rsidR="00725C5D">
        <w:rPr>
          <w:i/>
          <w:sz w:val="18"/>
        </w:rPr>
        <w:t xml:space="preserve"> </w:t>
      </w:r>
      <w:r w:rsidRPr="00326400">
        <w:rPr>
          <w:i/>
          <w:sz w:val="18"/>
          <w:lang w:val="en-GB"/>
        </w:rPr>
        <w:t xml:space="preserve">Waste treatment technologies have different impact to the environment. Before design and implementation of different waste treatment technologies in waste management system, the sustainability assessment must be done, but specially must be considered their impact on the environment. Environmental impact should be considered throughout the life cycle of waste, i.e. from the moment of waste generation to final treatment and disposal. In this paper </w:t>
      </w:r>
      <w:r w:rsidRPr="00326400">
        <w:rPr>
          <w:bCs/>
          <w:i/>
          <w:sz w:val="18"/>
          <w:lang w:val="en-GB"/>
        </w:rPr>
        <w:t xml:space="preserve">the life cycle assessment was applied to compare the environmental impact </w:t>
      </w:r>
      <w:r w:rsidRPr="00326400">
        <w:rPr>
          <w:i/>
          <w:sz w:val="18"/>
          <w:lang w:val="en-GB"/>
        </w:rPr>
        <w:t xml:space="preserve">of waste technology with energy recovery: incineration and anaerobic digestion, in a case study City of Niš. Emissions in air, water and soil are calculated and six impact categories: </w:t>
      </w:r>
      <w:r w:rsidRPr="00326400">
        <w:rPr>
          <w:i/>
          <w:sz w:val="18"/>
        </w:rPr>
        <w:t>abiotic depletion (ADP), global warming (GWP), human toxicity (HTP), photochemical oxidation (POCP), acidification (AP), and eutrophication (EP) were evaluated</w:t>
      </w:r>
      <w:r w:rsidRPr="00326400">
        <w:rPr>
          <w:i/>
          <w:sz w:val="18"/>
          <w:lang w:val="en-GB"/>
        </w:rPr>
        <w:t xml:space="preserve">. The obtained results show that the anaerobic digestion with biogas utilization for energy generation has </w:t>
      </w:r>
      <w:r w:rsidR="001548C7">
        <w:rPr>
          <w:i/>
          <w:sz w:val="18"/>
          <w:lang w:val="en-GB"/>
        </w:rPr>
        <w:t xml:space="preserve">overall </w:t>
      </w:r>
      <w:r w:rsidRPr="00326400">
        <w:rPr>
          <w:i/>
          <w:sz w:val="18"/>
          <w:lang w:val="en-GB"/>
        </w:rPr>
        <w:t>minimum negative environmental impact in the case study City of Niš.</w:t>
      </w:r>
      <w:r w:rsidR="007872FC" w:rsidRPr="007872FC">
        <w:rPr>
          <w:rFonts w:cs="Arial"/>
          <w:i/>
          <w:sz w:val="18"/>
          <w:szCs w:val="18"/>
          <w:lang w:val="sr-Latn-CS"/>
        </w:rPr>
        <w:t xml:space="preserve"> </w:t>
      </w:r>
    </w:p>
    <w:p w:rsidR="00725C5D" w:rsidRPr="006D08EE" w:rsidRDefault="00725C5D" w:rsidP="00725C5D">
      <w:pPr>
        <w:jc w:val="both"/>
        <w:rPr>
          <w:b/>
          <w:i/>
          <w:sz w:val="18"/>
        </w:rPr>
      </w:pPr>
    </w:p>
    <w:p w:rsidR="00725C5D" w:rsidRPr="00326400" w:rsidRDefault="00A936B8" w:rsidP="00725C5D">
      <w:pPr>
        <w:jc w:val="both"/>
        <w:rPr>
          <w:i/>
          <w:sz w:val="18"/>
        </w:rPr>
      </w:pPr>
      <w:r w:rsidRPr="006D08EE">
        <w:rPr>
          <w:b/>
          <w:i/>
          <w:sz w:val="18"/>
        </w:rPr>
        <w:t>Key</w:t>
      </w:r>
      <w:r w:rsidR="00326400" w:rsidRPr="006D08EE">
        <w:rPr>
          <w:b/>
          <w:i/>
          <w:sz w:val="18"/>
        </w:rPr>
        <w:t>words</w:t>
      </w:r>
      <w:r w:rsidR="00725C5D" w:rsidRPr="006D08EE">
        <w:rPr>
          <w:b/>
          <w:i/>
          <w:sz w:val="18"/>
        </w:rPr>
        <w:t>:</w:t>
      </w:r>
      <w:r w:rsidR="00725C5D" w:rsidRPr="006D08EE">
        <w:rPr>
          <w:i/>
          <w:sz w:val="18"/>
        </w:rPr>
        <w:t xml:space="preserve">  </w:t>
      </w:r>
      <w:r w:rsidR="00326400" w:rsidRPr="006D08EE">
        <w:rPr>
          <w:i/>
          <w:sz w:val="18"/>
        </w:rPr>
        <w:t>Waste treatments, envirom</w:t>
      </w:r>
      <w:r w:rsidR="00326400">
        <w:rPr>
          <w:i/>
          <w:sz w:val="18"/>
        </w:rPr>
        <w:t xml:space="preserve">ental impact, life cycle assessment, </w:t>
      </w:r>
    </w:p>
    <w:p w:rsidR="00725C5D" w:rsidRPr="006D08EE" w:rsidRDefault="00725C5D" w:rsidP="00725C5D">
      <w:pPr>
        <w:jc w:val="center"/>
        <w:rPr>
          <w:sz w:val="20"/>
        </w:rPr>
      </w:pPr>
    </w:p>
    <w:p w:rsidR="00725C5D" w:rsidRDefault="00725C5D" w:rsidP="00D4383A">
      <w:pPr>
        <w:rPr>
          <w:i/>
          <w:sz w:val="20"/>
        </w:rPr>
      </w:pPr>
    </w:p>
    <w:p w:rsidR="00B07668" w:rsidRPr="006D08EE" w:rsidRDefault="00B07668" w:rsidP="00D4383A">
      <w:pPr>
        <w:rPr>
          <w:i/>
          <w:sz w:val="20"/>
        </w:rPr>
      </w:pPr>
    </w:p>
    <w:p w:rsidR="00725C5D" w:rsidRPr="006D08EE" w:rsidRDefault="00725C5D" w:rsidP="00725C5D">
      <w:pPr>
        <w:jc w:val="center"/>
        <w:rPr>
          <w:sz w:val="20"/>
        </w:rPr>
      </w:pPr>
    </w:p>
    <w:p w:rsidR="00725C5D" w:rsidRPr="006D08EE" w:rsidRDefault="00725C5D" w:rsidP="00725C5D">
      <w:pPr>
        <w:jc w:val="both"/>
        <w:rPr>
          <w:b/>
          <w:sz w:val="22"/>
          <w:szCs w:val="22"/>
        </w:rPr>
      </w:pPr>
      <w:r w:rsidRPr="006D08EE">
        <w:rPr>
          <w:b/>
          <w:sz w:val="22"/>
          <w:szCs w:val="22"/>
        </w:rPr>
        <w:t xml:space="preserve">1. </w:t>
      </w:r>
      <w:r w:rsidR="00326400" w:rsidRPr="006D08EE">
        <w:rPr>
          <w:b/>
          <w:sz w:val="22"/>
          <w:szCs w:val="22"/>
        </w:rPr>
        <w:t>INTRODUCTION</w:t>
      </w:r>
    </w:p>
    <w:p w:rsidR="00725C5D" w:rsidRDefault="00725C5D" w:rsidP="00725C5D">
      <w:pPr>
        <w:pStyle w:val="BodyText"/>
        <w:spacing w:before="0" w:beforeAutospacing="0" w:after="0" w:afterAutospacing="0"/>
        <w:jc w:val="both"/>
        <w:rPr>
          <w:sz w:val="20"/>
          <w:szCs w:val="20"/>
          <w:lang w:val="sr-Latn-CS"/>
        </w:rPr>
      </w:pPr>
    </w:p>
    <w:p w:rsidR="004C6E7E" w:rsidRPr="004C6E7E" w:rsidRDefault="00CF4E10" w:rsidP="004C6E7E">
      <w:pPr>
        <w:jc w:val="both"/>
        <w:rPr>
          <w:bCs/>
          <w:sz w:val="20"/>
          <w:szCs w:val="20"/>
          <w:lang w:val="en-GB"/>
        </w:rPr>
      </w:pPr>
      <w:r>
        <w:rPr>
          <w:bCs/>
          <w:sz w:val="20"/>
          <w:szCs w:val="20"/>
          <w:lang w:val="en-GB"/>
        </w:rPr>
        <w:t xml:space="preserve">Before designing </w:t>
      </w:r>
      <w:r w:rsidR="004C6E7E" w:rsidRPr="004C6E7E">
        <w:rPr>
          <w:bCs/>
          <w:sz w:val="20"/>
          <w:szCs w:val="20"/>
          <w:lang w:val="en-GB"/>
        </w:rPr>
        <w:t xml:space="preserve">and implementing a new waste management system, it is necessary to analyse the system sustainability. This analysis includes assessment of all aspects: environmental, economic and social. </w:t>
      </w:r>
      <w:r>
        <w:rPr>
          <w:bCs/>
          <w:sz w:val="20"/>
          <w:szCs w:val="20"/>
          <w:lang w:val="en-GB"/>
        </w:rPr>
        <w:t>W</w:t>
      </w:r>
      <w:r w:rsidR="004C6E7E" w:rsidRPr="004C6E7E">
        <w:rPr>
          <w:bCs/>
          <w:sz w:val="20"/>
          <w:szCs w:val="20"/>
          <w:lang w:val="en-GB"/>
        </w:rPr>
        <w:t>hen analysing the impact of waste management system on the environment, this should be considered throughout the life cycle of waste, i.e. from cradle to grave, the moment of waste generation to final treatment and disposal, respectively, life-cycle assessment (LCA) should be done. This approach has been recognized and recommended by the Commissio</w:t>
      </w:r>
      <w:r w:rsidR="00371BDC">
        <w:rPr>
          <w:bCs/>
          <w:sz w:val="20"/>
          <w:szCs w:val="20"/>
          <w:lang w:val="en-GB"/>
        </w:rPr>
        <w:t>n of the European Communities [1</w:t>
      </w:r>
      <w:r w:rsidR="004C6E7E" w:rsidRPr="004C6E7E">
        <w:rPr>
          <w:bCs/>
          <w:sz w:val="20"/>
          <w:szCs w:val="20"/>
          <w:lang w:val="en-GB"/>
        </w:rPr>
        <w:t>]: "</w:t>
      </w:r>
      <w:r w:rsidR="004C6E7E" w:rsidRPr="004C6E7E">
        <w:rPr>
          <w:sz w:val="20"/>
          <w:szCs w:val="20"/>
          <w:lang w:val="it-IT"/>
        </w:rPr>
        <w:t xml:space="preserve">All phases in a resource’s life cycle need to be taken into account as there can be trade-offs between different phases and measures adopted to reduce environmental impact in one phase can increase the impact in another. Clearly, environmental policy needs to ensure that negative environmental impact is minimised throughout the entire life cycle of resources. By applying the life-cycle approach, priorities can be identified more easily and policies can be targeted more effectively so that the maximum benefit for the environment is achieved relative to the effort expended.” </w:t>
      </w:r>
    </w:p>
    <w:p w:rsidR="00CF4E10" w:rsidRPr="00813555" w:rsidRDefault="004C6E7E" w:rsidP="00CF4E10">
      <w:pPr>
        <w:jc w:val="both"/>
        <w:rPr>
          <w:b/>
          <w:sz w:val="18"/>
        </w:rPr>
      </w:pPr>
      <w:r w:rsidRPr="004C6E7E">
        <w:rPr>
          <w:sz w:val="20"/>
          <w:szCs w:val="20"/>
        </w:rPr>
        <w:t>Therefore, in recent years in assessing the environmental impact of waste management systems LCA was often used. Some authors reviewed the assessment methods that are used as tools to support decisions regarding waste management. They concluded that, approximately, 40% of reviewed articles ar</w:t>
      </w:r>
      <w:r w:rsidR="00371BDC">
        <w:rPr>
          <w:sz w:val="20"/>
          <w:szCs w:val="20"/>
        </w:rPr>
        <w:t>e life cycle assessment-based [2</w:t>
      </w:r>
      <w:r w:rsidRPr="004C6E7E">
        <w:rPr>
          <w:sz w:val="20"/>
          <w:szCs w:val="20"/>
        </w:rPr>
        <w:t>]. Other authors performed critical review of published LCA studies of s</w:t>
      </w:r>
      <w:r w:rsidR="00371BDC">
        <w:rPr>
          <w:sz w:val="20"/>
          <w:szCs w:val="20"/>
        </w:rPr>
        <w:t>olid waste management systems [3</w:t>
      </w:r>
      <w:r w:rsidRPr="004C6E7E">
        <w:rPr>
          <w:sz w:val="20"/>
          <w:szCs w:val="20"/>
        </w:rPr>
        <w:t>]. Some authors reviewed the articles that use LCA to evaluate the environmental performance of thermal Waste-</w:t>
      </w:r>
      <w:r w:rsidR="00371BDC">
        <w:rPr>
          <w:sz w:val="20"/>
          <w:szCs w:val="20"/>
        </w:rPr>
        <w:t>to-Energy (WtE) technologies [4</w:t>
      </w:r>
      <w:r w:rsidRPr="004C6E7E">
        <w:rPr>
          <w:sz w:val="20"/>
          <w:szCs w:val="20"/>
        </w:rPr>
        <w:t>]. They concluded that the quality of LCA studies of WtE technologies and systems including energy recovery can be significantly improved. Many studies have already shown the potential of LCA as a decision-supporting tool to evaluate different waste treatment scenarios and highlight the environmental hot spots [</w:t>
      </w:r>
      <w:r w:rsidR="00371BDC">
        <w:rPr>
          <w:sz w:val="20"/>
          <w:szCs w:val="20"/>
        </w:rPr>
        <w:t>5-</w:t>
      </w:r>
      <w:r w:rsidRPr="004C6E7E">
        <w:rPr>
          <w:sz w:val="20"/>
          <w:szCs w:val="20"/>
        </w:rPr>
        <w:t>1</w:t>
      </w:r>
      <w:r w:rsidR="00371BDC">
        <w:rPr>
          <w:sz w:val="20"/>
          <w:szCs w:val="20"/>
        </w:rPr>
        <w:t>0</w:t>
      </w:r>
      <w:r w:rsidRPr="004C6E7E">
        <w:rPr>
          <w:sz w:val="20"/>
          <w:szCs w:val="20"/>
        </w:rPr>
        <w:t xml:space="preserve">]. </w:t>
      </w:r>
      <w:r w:rsidR="00CF4E10" w:rsidRPr="00813555">
        <w:rPr>
          <w:sz w:val="20"/>
          <w:szCs w:val="20"/>
        </w:rPr>
        <w:t>Some authors</w:t>
      </w:r>
      <w:r w:rsidR="00CF4E10" w:rsidRPr="00813555">
        <w:rPr>
          <w:bCs/>
          <w:sz w:val="20"/>
          <w:szCs w:val="20"/>
        </w:rPr>
        <w:t xml:space="preserve"> presented a study concerning the application of the LCA methodology to support the development of the new waste management p</w:t>
      </w:r>
      <w:r w:rsidR="00371BDC">
        <w:rPr>
          <w:bCs/>
          <w:sz w:val="20"/>
          <w:szCs w:val="20"/>
        </w:rPr>
        <w:t>lan for the Bologna District [10</w:t>
      </w:r>
      <w:r w:rsidR="00CF4E10" w:rsidRPr="00813555">
        <w:rPr>
          <w:bCs/>
          <w:sz w:val="20"/>
          <w:szCs w:val="20"/>
        </w:rPr>
        <w:t>]. Other focused on the LCA of alternative urban solid waste management strategies. The assessment is assumed to be applied to the waste stream of the biggest Italian city, Roma, but the final results can be considered reliable for most of the European cities, which have</w:t>
      </w:r>
      <w:r w:rsidR="00371BDC">
        <w:rPr>
          <w:bCs/>
          <w:sz w:val="20"/>
          <w:szCs w:val="20"/>
        </w:rPr>
        <w:t xml:space="preserve"> a similar waste composition [11</w:t>
      </w:r>
      <w:r w:rsidR="00CF4E10" w:rsidRPr="00813555">
        <w:rPr>
          <w:bCs/>
          <w:sz w:val="20"/>
          <w:szCs w:val="20"/>
        </w:rPr>
        <w:t>]</w:t>
      </w:r>
      <w:r w:rsidR="00CF4E10" w:rsidRPr="00813555">
        <w:rPr>
          <w:bCs/>
          <w:sz w:val="20"/>
          <w:szCs w:val="20"/>
          <w:lang w:val="en-GB"/>
        </w:rPr>
        <w:t>. T</w:t>
      </w:r>
      <w:r w:rsidR="00CF4E10" w:rsidRPr="00813555">
        <w:rPr>
          <w:bCs/>
          <w:sz w:val="20"/>
          <w:szCs w:val="20"/>
        </w:rPr>
        <w:t xml:space="preserve">he life cycle analysis of 10 integrated waste management systems for 3 potential post-event site design scenarios </w:t>
      </w:r>
      <w:r w:rsidR="00CF4E10" w:rsidRPr="00813555">
        <w:rPr>
          <w:bCs/>
          <w:sz w:val="20"/>
          <w:szCs w:val="20"/>
        </w:rPr>
        <w:lastRenderedPageBreak/>
        <w:t>of the London Olympic Park were also done and waste mana</w:t>
      </w:r>
      <w:r w:rsidR="00371BDC">
        <w:rPr>
          <w:bCs/>
          <w:sz w:val="20"/>
          <w:szCs w:val="20"/>
        </w:rPr>
        <w:t>gement systems were compared [12</w:t>
      </w:r>
      <w:r w:rsidR="00CF4E10" w:rsidRPr="00813555">
        <w:rPr>
          <w:bCs/>
          <w:sz w:val="20"/>
          <w:szCs w:val="20"/>
        </w:rPr>
        <w:t>].</w:t>
      </w:r>
      <w:r w:rsidR="00CF4E10" w:rsidRPr="00813555">
        <w:rPr>
          <w:bCs/>
          <w:sz w:val="20"/>
          <w:szCs w:val="20"/>
          <w:lang w:val="en-GB"/>
        </w:rPr>
        <w:t xml:space="preserve"> </w:t>
      </w:r>
      <w:r w:rsidR="00CF4E10" w:rsidRPr="00813555">
        <w:rPr>
          <w:bCs/>
          <w:sz w:val="20"/>
          <w:szCs w:val="20"/>
        </w:rPr>
        <w:t>Tarantini et al. applied the LCA to waste management systems</w:t>
      </w:r>
      <w:r w:rsidR="00371BDC">
        <w:rPr>
          <w:bCs/>
          <w:sz w:val="20"/>
          <w:szCs w:val="20"/>
        </w:rPr>
        <w:t xml:space="preserve"> in Italian industrial areas [13</w:t>
      </w:r>
      <w:r w:rsidR="00CF4E10" w:rsidRPr="00813555">
        <w:rPr>
          <w:bCs/>
          <w:sz w:val="20"/>
          <w:szCs w:val="20"/>
        </w:rPr>
        <w:t>]. In some studies the life cycle environmental impacts of a system producing biogas from agricultural wastes by anaerobic digestion and co-generating heat and electricity in a combined heat and power plant was presented and compared with fossil-fuel alternatives</w:t>
      </w:r>
      <w:r w:rsidR="00371BDC">
        <w:rPr>
          <w:bCs/>
          <w:sz w:val="20"/>
          <w:szCs w:val="20"/>
        </w:rPr>
        <w:t xml:space="preserve"> [14</w:t>
      </w:r>
      <w:r w:rsidR="00CF4E10" w:rsidRPr="00813555">
        <w:rPr>
          <w:bCs/>
          <w:sz w:val="20"/>
          <w:szCs w:val="20"/>
        </w:rPr>
        <w:t>].</w:t>
      </w:r>
    </w:p>
    <w:p w:rsidR="004C6E7E" w:rsidRPr="004C6E7E" w:rsidRDefault="004C6E7E" w:rsidP="004C6E7E">
      <w:pPr>
        <w:jc w:val="both"/>
        <w:rPr>
          <w:bCs/>
          <w:sz w:val="20"/>
          <w:szCs w:val="20"/>
          <w:lang w:val="en-GB"/>
        </w:rPr>
      </w:pPr>
      <w:r w:rsidRPr="004C6E7E">
        <w:rPr>
          <w:bCs/>
          <w:sz w:val="20"/>
          <w:szCs w:val="20"/>
          <w:lang w:val="en-GB"/>
        </w:rPr>
        <w:t xml:space="preserve">In this paper life cycle analysis was applied to </w:t>
      </w:r>
      <w:r w:rsidR="005D496F">
        <w:rPr>
          <w:bCs/>
          <w:sz w:val="20"/>
          <w:szCs w:val="20"/>
          <w:lang w:val="en-GB"/>
        </w:rPr>
        <w:t>compare</w:t>
      </w:r>
      <w:r w:rsidRPr="004C6E7E">
        <w:rPr>
          <w:bCs/>
          <w:sz w:val="20"/>
          <w:szCs w:val="20"/>
          <w:lang w:val="en-GB"/>
        </w:rPr>
        <w:t xml:space="preserve"> environmental impact of waste management scenarios with energy</w:t>
      </w:r>
      <w:r w:rsidRPr="004C6E7E">
        <w:rPr>
          <w:bCs/>
          <w:sz w:val="20"/>
          <w:szCs w:val="20"/>
        </w:rPr>
        <w:t xml:space="preserve"> recovery </w:t>
      </w:r>
      <w:r w:rsidRPr="004C6E7E">
        <w:rPr>
          <w:bCs/>
          <w:sz w:val="20"/>
          <w:szCs w:val="20"/>
          <w:lang w:val="en-GB"/>
        </w:rPr>
        <w:t>in City of Niš as a case study, in the framework for sustainability assessment of</w:t>
      </w:r>
      <w:r w:rsidR="00371BDC">
        <w:rPr>
          <w:bCs/>
          <w:sz w:val="20"/>
          <w:szCs w:val="20"/>
          <w:lang w:val="en-GB"/>
        </w:rPr>
        <w:t xml:space="preserve"> the waste management system [15</w:t>
      </w:r>
      <w:r w:rsidRPr="004C6E7E">
        <w:rPr>
          <w:bCs/>
          <w:sz w:val="20"/>
          <w:szCs w:val="20"/>
          <w:lang w:val="en-GB"/>
        </w:rPr>
        <w:t xml:space="preserve">]. </w:t>
      </w:r>
      <w:r w:rsidR="005D496F">
        <w:rPr>
          <w:bCs/>
          <w:sz w:val="20"/>
          <w:szCs w:val="20"/>
          <w:lang w:val="en-GB"/>
        </w:rPr>
        <w:t>Two</w:t>
      </w:r>
      <w:r w:rsidRPr="004C6E7E">
        <w:rPr>
          <w:bCs/>
          <w:sz w:val="20"/>
          <w:szCs w:val="20"/>
          <w:lang w:val="en-GB"/>
        </w:rPr>
        <w:t xml:space="preserve"> scenarios were taken in to consideration: Incineration – incineration of waste with energy production, and Anaerobic Digestion </w:t>
      </w:r>
      <w:r w:rsidR="005D496F" w:rsidRPr="004C6E7E">
        <w:rPr>
          <w:bCs/>
          <w:sz w:val="20"/>
          <w:szCs w:val="20"/>
          <w:lang w:val="en-GB"/>
        </w:rPr>
        <w:t xml:space="preserve">and Recycling </w:t>
      </w:r>
      <w:r w:rsidRPr="004C6E7E">
        <w:rPr>
          <w:bCs/>
          <w:sz w:val="20"/>
          <w:szCs w:val="20"/>
          <w:lang w:val="en-GB"/>
        </w:rPr>
        <w:t>– anaerobic digestion with biogas utilization for energy generation and six LCA impact categories were used as criteria.</w:t>
      </w:r>
    </w:p>
    <w:p w:rsidR="00D4383A" w:rsidRPr="008F5D47" w:rsidRDefault="00D4383A" w:rsidP="00D4383A">
      <w:pPr>
        <w:rPr>
          <w:i/>
          <w:sz w:val="20"/>
          <w:lang w:val="sr-Latn-CS"/>
        </w:rPr>
      </w:pPr>
    </w:p>
    <w:p w:rsidR="00725C5D" w:rsidRPr="008F5D47" w:rsidRDefault="00725C5D" w:rsidP="00725C5D">
      <w:pPr>
        <w:rPr>
          <w:sz w:val="20"/>
          <w:lang w:val="sr-Latn-CS"/>
        </w:rPr>
      </w:pPr>
    </w:p>
    <w:p w:rsidR="00725C5D" w:rsidRPr="008F5D47" w:rsidRDefault="00725C5D" w:rsidP="00725C5D">
      <w:pPr>
        <w:jc w:val="both"/>
        <w:rPr>
          <w:b/>
          <w:sz w:val="22"/>
          <w:szCs w:val="22"/>
          <w:lang w:val="sr-Latn-CS"/>
        </w:rPr>
      </w:pPr>
      <w:r w:rsidRPr="008F5D47">
        <w:rPr>
          <w:b/>
          <w:sz w:val="22"/>
          <w:szCs w:val="22"/>
          <w:lang w:val="sr-Latn-CS"/>
        </w:rPr>
        <w:t xml:space="preserve">2. </w:t>
      </w:r>
      <w:r w:rsidR="004C6E7E">
        <w:rPr>
          <w:b/>
          <w:sz w:val="22"/>
          <w:szCs w:val="22"/>
        </w:rPr>
        <w:t>MATERIALS AND METHODS</w:t>
      </w:r>
    </w:p>
    <w:p w:rsidR="00725C5D" w:rsidRPr="008F5D47" w:rsidRDefault="00725C5D" w:rsidP="00725C5D">
      <w:pPr>
        <w:rPr>
          <w:i/>
          <w:sz w:val="20"/>
          <w:lang w:val="sr-Latn-CS"/>
        </w:rPr>
      </w:pPr>
    </w:p>
    <w:p w:rsidR="004C6E7E" w:rsidRPr="00813555" w:rsidRDefault="004C6E7E" w:rsidP="004C6E7E">
      <w:pPr>
        <w:jc w:val="both"/>
        <w:rPr>
          <w:sz w:val="20"/>
          <w:szCs w:val="20"/>
        </w:rPr>
      </w:pPr>
      <w:r w:rsidRPr="00813555">
        <w:rPr>
          <w:sz w:val="20"/>
          <w:szCs w:val="20"/>
        </w:rPr>
        <w:t xml:space="preserve">According to the International Organization for Standardization (ISO) an environmental Life Cycle Assessment (LCA) studies the environmental interventions and potential impacts throughout a product’s life (i.e., from cradle-to-grave) from raw material acquisition through </w:t>
      </w:r>
      <w:r w:rsidR="00371BDC">
        <w:rPr>
          <w:sz w:val="20"/>
          <w:szCs w:val="20"/>
        </w:rPr>
        <w:t>production, use and disposal [16</w:t>
      </w:r>
      <w:r w:rsidRPr="00813555">
        <w:rPr>
          <w:sz w:val="20"/>
          <w:szCs w:val="20"/>
        </w:rPr>
        <w:t xml:space="preserve">]. </w:t>
      </w:r>
      <w:r w:rsidR="00CF4E10">
        <w:rPr>
          <w:sz w:val="20"/>
          <w:szCs w:val="20"/>
        </w:rPr>
        <w:t xml:space="preserve">The </w:t>
      </w:r>
      <w:r w:rsidRPr="00813555">
        <w:rPr>
          <w:sz w:val="20"/>
          <w:szCs w:val="20"/>
        </w:rPr>
        <w:t>LCA is a tool able to evaluate environmental burdens associated with a product, process, or service by identifying energy and materials used and emissions released to the environment; moreover it allows also an identification of opportunities fo</w:t>
      </w:r>
      <w:r w:rsidR="00371BDC">
        <w:rPr>
          <w:sz w:val="20"/>
          <w:szCs w:val="20"/>
        </w:rPr>
        <w:t>r environmental improvements [17</w:t>
      </w:r>
      <w:r w:rsidRPr="00813555">
        <w:rPr>
          <w:sz w:val="20"/>
          <w:szCs w:val="20"/>
        </w:rPr>
        <w:t xml:space="preserve">]. In the definition of </w:t>
      </w:r>
      <w:r w:rsidR="00CF4E10">
        <w:rPr>
          <w:sz w:val="20"/>
          <w:szCs w:val="20"/>
        </w:rPr>
        <w:t xml:space="preserve">the </w:t>
      </w:r>
      <w:r w:rsidRPr="00813555">
        <w:rPr>
          <w:sz w:val="20"/>
          <w:szCs w:val="20"/>
        </w:rPr>
        <w:t>LCA, the term ‘product’ includes not only material products but can also include service systems, for example waste ma</w:t>
      </w:r>
      <w:r w:rsidR="00371BDC">
        <w:rPr>
          <w:sz w:val="20"/>
          <w:szCs w:val="20"/>
        </w:rPr>
        <w:t>nagement system [18</w:t>
      </w:r>
      <w:r w:rsidRPr="00813555">
        <w:rPr>
          <w:sz w:val="20"/>
          <w:szCs w:val="20"/>
        </w:rPr>
        <w:t xml:space="preserve">]. </w:t>
      </w:r>
      <w:r w:rsidR="00CF4E10">
        <w:rPr>
          <w:sz w:val="20"/>
          <w:szCs w:val="20"/>
        </w:rPr>
        <w:t xml:space="preserve">The </w:t>
      </w:r>
      <w:r w:rsidRPr="00813555">
        <w:rPr>
          <w:sz w:val="20"/>
          <w:szCs w:val="20"/>
        </w:rPr>
        <w:t>LCA methodology is considered one of the most effective management tools for identifying and assessing the environmental impacts related with waste management options, and for comparing alternative technologies when the location of the</w:t>
      </w:r>
      <w:r w:rsidR="00371BDC">
        <w:rPr>
          <w:sz w:val="20"/>
          <w:szCs w:val="20"/>
        </w:rPr>
        <w:t xml:space="preserve"> activity is already defined [19</w:t>
      </w:r>
      <w:r w:rsidRPr="00813555">
        <w:rPr>
          <w:sz w:val="20"/>
          <w:szCs w:val="20"/>
        </w:rPr>
        <w:t xml:space="preserve">]. In particular, the broad perspective of </w:t>
      </w:r>
      <w:r w:rsidR="00CF4E10">
        <w:rPr>
          <w:sz w:val="20"/>
          <w:szCs w:val="20"/>
        </w:rPr>
        <w:t xml:space="preserve">the </w:t>
      </w:r>
      <w:r w:rsidRPr="00813555">
        <w:rPr>
          <w:sz w:val="20"/>
          <w:szCs w:val="20"/>
        </w:rPr>
        <w:t>LCA makes possible to take into account the significant environmental benefits that can be obtained through different waste management processes. The general categories of environmental impacts needing consideration include resource use, human health, and ecological considerations.</w:t>
      </w:r>
    </w:p>
    <w:p w:rsidR="004C6E7E" w:rsidRPr="00813555" w:rsidRDefault="004C6E7E" w:rsidP="004C6E7E">
      <w:pPr>
        <w:jc w:val="both"/>
        <w:rPr>
          <w:sz w:val="20"/>
          <w:szCs w:val="20"/>
        </w:rPr>
      </w:pPr>
      <w:r w:rsidRPr="00813555">
        <w:rPr>
          <w:sz w:val="20"/>
          <w:szCs w:val="20"/>
        </w:rPr>
        <w:t xml:space="preserve">At the beginning, it is essential to define why the LCA is to be carried out, and what decision is to be informed by the results. The scope of the study is expressed in terms of the </w:t>
      </w:r>
      <w:r w:rsidRPr="00813555">
        <w:rPr>
          <w:iCs/>
          <w:sz w:val="20"/>
          <w:szCs w:val="20"/>
        </w:rPr>
        <w:t>system boundary</w:t>
      </w:r>
      <w:r w:rsidRPr="00813555">
        <w:rPr>
          <w:sz w:val="20"/>
          <w:szCs w:val="20"/>
        </w:rPr>
        <w:t xml:space="preserve">, and the processes and operations which are to be included. However, for comparative LCAs, it is usually sufficient to consider only the activities which differ between the alternatives, ignoring all common operations. This simplifies the second phase, the inventory analysis. In this phase is carried out the identification and quantification of the materials and emissions crossing system boundary. The input and emission flows are termed </w:t>
      </w:r>
      <w:r w:rsidRPr="00813555">
        <w:rPr>
          <w:iCs/>
          <w:sz w:val="20"/>
          <w:szCs w:val="20"/>
        </w:rPr>
        <w:t xml:space="preserve">environmental burdens </w:t>
      </w:r>
      <w:r w:rsidRPr="00813555">
        <w:rPr>
          <w:sz w:val="20"/>
          <w:szCs w:val="20"/>
        </w:rPr>
        <w:t xml:space="preserve">or </w:t>
      </w:r>
      <w:r w:rsidRPr="00813555">
        <w:rPr>
          <w:iCs/>
          <w:sz w:val="20"/>
          <w:szCs w:val="20"/>
        </w:rPr>
        <w:t>environmental interventions</w:t>
      </w:r>
      <w:r w:rsidRPr="00813555">
        <w:rPr>
          <w:sz w:val="20"/>
          <w:szCs w:val="20"/>
        </w:rPr>
        <w:t>. In process engineering terms, inventory analysis amounts to compiling material and energy balances over the processes and operations making up the life cycle. In addition to processing operations, transport must be included explicitly; in the specific case of solid waste management, logistics can represent a significant part of the overall economic cos</w:t>
      </w:r>
      <w:r w:rsidR="008C0104">
        <w:rPr>
          <w:sz w:val="20"/>
          <w:szCs w:val="20"/>
        </w:rPr>
        <w:t>t and environmental impacts</w:t>
      </w:r>
      <w:r w:rsidRPr="00813555">
        <w:rPr>
          <w:sz w:val="20"/>
          <w:szCs w:val="20"/>
        </w:rPr>
        <w:t>. In principle, manufacture and disposal of plant and equipment is also part of the life cycle. A</w:t>
      </w:r>
      <w:r w:rsidR="00371BDC">
        <w:rPr>
          <w:sz w:val="20"/>
          <w:szCs w:val="20"/>
        </w:rPr>
        <w:t>ccording to the ISO standard [16</w:t>
      </w:r>
      <w:r w:rsidRPr="00813555">
        <w:rPr>
          <w:sz w:val="20"/>
          <w:szCs w:val="20"/>
        </w:rPr>
        <w:t xml:space="preserve">], the life cycle impact assessment (LCIA) is a phase of </w:t>
      </w:r>
      <w:r w:rsidR="00CF4E10">
        <w:rPr>
          <w:sz w:val="20"/>
          <w:szCs w:val="20"/>
        </w:rPr>
        <w:t xml:space="preserve">the </w:t>
      </w:r>
      <w:r w:rsidRPr="00813555">
        <w:rPr>
          <w:sz w:val="20"/>
          <w:szCs w:val="20"/>
        </w:rPr>
        <w:t xml:space="preserve">LCA aimed at understanding and evaluating the magnitude and significance of the potential environmental impacts of a product system. Interpretation is the final phase of </w:t>
      </w:r>
      <w:r w:rsidR="00CF4E10">
        <w:rPr>
          <w:sz w:val="20"/>
          <w:szCs w:val="20"/>
        </w:rPr>
        <w:t>the</w:t>
      </w:r>
      <w:r w:rsidRPr="00813555">
        <w:rPr>
          <w:sz w:val="20"/>
          <w:szCs w:val="20"/>
        </w:rPr>
        <w:t xml:space="preserve"> LCA. In this phase, the findings of either the inventory analysis or the impact assessment or both are combined in line with the defined goal and scope of the study.</w:t>
      </w:r>
    </w:p>
    <w:p w:rsidR="00725C5D" w:rsidRPr="006D08EE" w:rsidRDefault="00725C5D" w:rsidP="00725C5D">
      <w:pPr>
        <w:jc w:val="both"/>
        <w:rPr>
          <w:sz w:val="20"/>
        </w:rPr>
      </w:pPr>
    </w:p>
    <w:p w:rsidR="00F72C5D" w:rsidRPr="006D08EE" w:rsidRDefault="00F72C5D" w:rsidP="00725C5D">
      <w:pPr>
        <w:jc w:val="both"/>
        <w:rPr>
          <w:sz w:val="20"/>
        </w:rPr>
      </w:pPr>
    </w:p>
    <w:p w:rsidR="004C6E7E" w:rsidRPr="006D08EE" w:rsidRDefault="004C6E7E" w:rsidP="004C6E7E">
      <w:pPr>
        <w:jc w:val="both"/>
        <w:rPr>
          <w:sz w:val="22"/>
          <w:szCs w:val="22"/>
        </w:rPr>
      </w:pPr>
      <w:r w:rsidRPr="006D08EE">
        <w:rPr>
          <w:b/>
          <w:sz w:val="22"/>
          <w:szCs w:val="22"/>
        </w:rPr>
        <w:t>3. EXPERIMENTAL RESEARCH</w:t>
      </w:r>
    </w:p>
    <w:p w:rsidR="004C6E7E" w:rsidRPr="006D08EE" w:rsidRDefault="004C6E7E" w:rsidP="00725C5D">
      <w:pPr>
        <w:jc w:val="both"/>
        <w:rPr>
          <w:sz w:val="20"/>
        </w:rPr>
      </w:pPr>
    </w:p>
    <w:p w:rsidR="004C6E7E" w:rsidRPr="00693476" w:rsidRDefault="004C6E7E" w:rsidP="00036004">
      <w:pPr>
        <w:pStyle w:val="Heading3"/>
        <w:numPr>
          <w:ilvl w:val="0"/>
          <w:numId w:val="0"/>
        </w:numPr>
        <w:spacing w:before="0" w:after="0"/>
        <w:rPr>
          <w:rFonts w:ascii="Times New Roman" w:hAnsi="Times New Roman"/>
          <w:b/>
          <w:i w:val="0"/>
          <w:szCs w:val="22"/>
          <w:lang w:val="en-GB"/>
        </w:rPr>
      </w:pPr>
      <w:r>
        <w:rPr>
          <w:rFonts w:ascii="Times New Roman" w:hAnsi="Times New Roman"/>
          <w:b/>
          <w:i w:val="0"/>
          <w:szCs w:val="22"/>
        </w:rPr>
        <w:t>3</w:t>
      </w:r>
      <w:r w:rsidRPr="00693476">
        <w:rPr>
          <w:rFonts w:ascii="Times New Roman" w:hAnsi="Times New Roman"/>
          <w:b/>
          <w:i w:val="0"/>
          <w:szCs w:val="22"/>
        </w:rPr>
        <w:t>.</w:t>
      </w:r>
      <w:r>
        <w:rPr>
          <w:rFonts w:ascii="Times New Roman" w:hAnsi="Times New Roman"/>
          <w:b/>
          <w:i w:val="0"/>
          <w:szCs w:val="22"/>
        </w:rPr>
        <w:t>1</w:t>
      </w:r>
      <w:r w:rsidRPr="00693476">
        <w:rPr>
          <w:rFonts w:ascii="Times New Roman" w:hAnsi="Times New Roman"/>
          <w:b/>
          <w:i w:val="0"/>
          <w:szCs w:val="22"/>
        </w:rPr>
        <w:t xml:space="preserve">. </w:t>
      </w:r>
      <w:r>
        <w:rPr>
          <w:rFonts w:ascii="Times New Roman" w:hAnsi="Times New Roman"/>
          <w:b/>
          <w:i w:val="0"/>
          <w:szCs w:val="22"/>
        </w:rPr>
        <w:t>Case study</w:t>
      </w:r>
    </w:p>
    <w:p w:rsidR="004C6E7E" w:rsidRPr="006D08EE" w:rsidRDefault="004C6E7E" w:rsidP="00725C5D">
      <w:pPr>
        <w:jc w:val="both"/>
        <w:rPr>
          <w:sz w:val="22"/>
          <w:szCs w:val="22"/>
        </w:rPr>
      </w:pPr>
    </w:p>
    <w:p w:rsidR="004C6E7E" w:rsidRPr="00813555" w:rsidRDefault="004C6E7E" w:rsidP="004C6E7E">
      <w:pPr>
        <w:jc w:val="both"/>
        <w:rPr>
          <w:sz w:val="20"/>
          <w:szCs w:val="20"/>
        </w:rPr>
      </w:pPr>
      <w:r w:rsidRPr="00813555">
        <w:rPr>
          <w:sz w:val="20"/>
          <w:szCs w:val="20"/>
        </w:rPr>
        <w:t>City of Niš is situated in south east of Republic of Serbia, in the Nišava valley. The city area covers 596.71 km</w:t>
      </w:r>
      <w:r w:rsidRPr="00813555">
        <w:rPr>
          <w:sz w:val="20"/>
          <w:szCs w:val="20"/>
          <w:vertAlign w:val="superscript"/>
        </w:rPr>
        <w:t>2</w:t>
      </w:r>
      <w:r w:rsidR="00371BDC">
        <w:rPr>
          <w:sz w:val="20"/>
          <w:szCs w:val="20"/>
        </w:rPr>
        <w:t xml:space="preserve"> of five municipalities [20</w:t>
      </w:r>
      <w:r w:rsidRPr="00813555">
        <w:rPr>
          <w:sz w:val="20"/>
          <w:szCs w:val="20"/>
        </w:rPr>
        <w:t>]. In the City of Niš, according to the census of 2011, lived 260,237 inhabitants. Niš is one of the most important industrial centers in Serbia, well-known for its industry of electronics and mechanical engineering, and the textile and the tobacco industry. The educational system is quite elaborate in the city: there are 50,000 pupils/students.</w:t>
      </w:r>
    </w:p>
    <w:p w:rsidR="004C6E7E" w:rsidRPr="00813555" w:rsidRDefault="004C6E7E" w:rsidP="004C6E7E">
      <w:pPr>
        <w:jc w:val="both"/>
        <w:rPr>
          <w:sz w:val="20"/>
          <w:szCs w:val="20"/>
        </w:rPr>
      </w:pPr>
      <w:r w:rsidRPr="00813555">
        <w:rPr>
          <w:sz w:val="20"/>
          <w:szCs w:val="20"/>
        </w:rPr>
        <w:t>City of Niš still has not introduced a waste management system that implementing advanced treatment of waste, and the proposed methodology can support decision-makers in the planning and introduction of a new waste management system.</w:t>
      </w:r>
    </w:p>
    <w:p w:rsidR="004C6E7E" w:rsidRPr="00813555" w:rsidRDefault="004C6E7E" w:rsidP="004C6E7E">
      <w:pPr>
        <w:jc w:val="both"/>
        <w:rPr>
          <w:sz w:val="20"/>
          <w:szCs w:val="20"/>
        </w:rPr>
      </w:pPr>
      <w:r w:rsidRPr="00813555">
        <w:rPr>
          <w:sz w:val="20"/>
          <w:szCs w:val="20"/>
        </w:rPr>
        <w:t>Amount of waste that generated in the city of Ni</w:t>
      </w:r>
      <w:r w:rsidRPr="00813555">
        <w:rPr>
          <w:sz w:val="20"/>
          <w:szCs w:val="20"/>
          <w:lang w:val="tr-TR"/>
        </w:rPr>
        <w:t>š in 2014</w:t>
      </w:r>
      <w:r w:rsidRPr="00813555">
        <w:rPr>
          <w:sz w:val="20"/>
          <w:szCs w:val="20"/>
        </w:rPr>
        <w:t xml:space="preserve"> is 65,348 t/y </w:t>
      </w:r>
      <w:r w:rsidR="00371BDC">
        <w:rPr>
          <w:sz w:val="20"/>
          <w:szCs w:val="20"/>
        </w:rPr>
        <w:t>[21</w:t>
      </w:r>
      <w:r w:rsidRPr="00813555">
        <w:rPr>
          <w:sz w:val="20"/>
          <w:szCs w:val="20"/>
        </w:rPr>
        <w:t xml:space="preserve">]. At present, the city has a dysfunctional unsanitary landfill and waste management comes down to the collection and disposal of waste in the landfill. The current situation in the city is such that the waste is collected by a public company and disposed of in unsanitary landfill. In the city there are several private companies involved in the recycling of waste (mainly metals, paper, plastics and e-waste). There are several locations with containers for the collection of recyclable materials (plastics, glass, aluminum cans, paper). In two municipalities primary selection of waste is applied. The waste is collected and transported once a week. </w:t>
      </w:r>
    </w:p>
    <w:p w:rsidR="004C6E7E" w:rsidRPr="00813555" w:rsidRDefault="004C6E7E" w:rsidP="004C6E7E">
      <w:pPr>
        <w:jc w:val="both"/>
        <w:rPr>
          <w:sz w:val="20"/>
          <w:szCs w:val="20"/>
        </w:rPr>
      </w:pPr>
    </w:p>
    <w:p w:rsidR="004C6E7E" w:rsidRPr="00813555" w:rsidRDefault="004C6E7E" w:rsidP="00A936B8">
      <w:pPr>
        <w:jc w:val="center"/>
        <w:rPr>
          <w:iCs/>
          <w:sz w:val="20"/>
          <w:szCs w:val="20"/>
          <w:lang w:val="en-GB"/>
        </w:rPr>
      </w:pPr>
      <w:r w:rsidRPr="00813555">
        <w:rPr>
          <w:b/>
          <w:iCs/>
          <w:sz w:val="20"/>
          <w:szCs w:val="20"/>
          <w:lang w:val="en-GB"/>
        </w:rPr>
        <w:t xml:space="preserve">Table </w:t>
      </w:r>
      <w:r w:rsidR="00D84595" w:rsidRPr="00D84595">
        <w:rPr>
          <w:b/>
          <w:iCs/>
          <w:sz w:val="20"/>
          <w:szCs w:val="20"/>
          <w:lang w:val="en-GB"/>
        </w:rPr>
        <w:fldChar w:fldCharType="begin"/>
      </w:r>
      <w:r w:rsidRPr="00813555">
        <w:rPr>
          <w:b/>
          <w:iCs/>
          <w:sz w:val="20"/>
          <w:szCs w:val="20"/>
          <w:lang w:val="en-GB"/>
        </w:rPr>
        <w:instrText xml:space="preserve"> SEQ Table \* ARABIC </w:instrText>
      </w:r>
      <w:r w:rsidR="00D84595" w:rsidRPr="00D84595">
        <w:rPr>
          <w:b/>
          <w:iCs/>
          <w:sz w:val="20"/>
          <w:szCs w:val="20"/>
          <w:lang w:val="en-GB"/>
        </w:rPr>
        <w:fldChar w:fldCharType="separate"/>
      </w:r>
      <w:r w:rsidRPr="00813555">
        <w:rPr>
          <w:b/>
          <w:iCs/>
          <w:sz w:val="20"/>
          <w:szCs w:val="20"/>
          <w:lang w:val="en-GB"/>
        </w:rPr>
        <w:t>1</w:t>
      </w:r>
      <w:r w:rsidR="00D84595" w:rsidRPr="00813555">
        <w:rPr>
          <w:b/>
          <w:sz w:val="20"/>
          <w:szCs w:val="20"/>
          <w:lang w:val="de-DE"/>
        </w:rPr>
        <w:fldChar w:fldCharType="end"/>
      </w:r>
      <w:r w:rsidR="00A936B8" w:rsidRPr="00813555">
        <w:rPr>
          <w:b/>
          <w:iCs/>
          <w:sz w:val="20"/>
          <w:szCs w:val="20"/>
          <w:lang w:val="en-GB"/>
        </w:rPr>
        <w:t>:</w:t>
      </w:r>
      <w:r w:rsidRPr="00813555">
        <w:rPr>
          <w:iCs/>
          <w:sz w:val="20"/>
          <w:szCs w:val="20"/>
          <w:lang w:val="en-GB"/>
        </w:rPr>
        <w:t xml:space="preserve">  The composition and quantity of waste generated annually in the city of Niš [46]</w:t>
      </w:r>
    </w:p>
    <w:tbl>
      <w:tblPr>
        <w:tblW w:w="897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tblPr>
      <w:tblGrid>
        <w:gridCol w:w="1301"/>
        <w:gridCol w:w="1336"/>
        <w:gridCol w:w="1417"/>
        <w:gridCol w:w="567"/>
        <w:gridCol w:w="567"/>
        <w:gridCol w:w="567"/>
        <w:gridCol w:w="709"/>
        <w:gridCol w:w="567"/>
        <w:gridCol w:w="1134"/>
        <w:gridCol w:w="809"/>
      </w:tblGrid>
      <w:tr w:rsidR="009B5EBE" w:rsidRPr="00813555" w:rsidTr="00EE3C72">
        <w:trPr>
          <w:trHeight w:val="333"/>
          <w:jc w:val="center"/>
        </w:trPr>
        <w:tc>
          <w:tcPr>
            <w:tcW w:w="1301" w:type="dxa"/>
            <w:tcBorders>
              <w:top w:val="single" w:sz="12" w:space="0" w:color="auto"/>
              <w:bottom w:val="single" w:sz="12" w:space="0" w:color="auto"/>
              <w:right w:val="single" w:sz="4" w:space="0" w:color="auto"/>
            </w:tcBorders>
            <w:tcMar>
              <w:left w:w="28" w:type="dxa"/>
              <w:right w:w="28" w:type="dxa"/>
            </w:tcMar>
            <w:vAlign w:val="center"/>
          </w:tcPr>
          <w:p w:rsidR="004C6E7E" w:rsidRPr="00813555" w:rsidRDefault="004C6E7E" w:rsidP="004C6E7E">
            <w:pPr>
              <w:jc w:val="both"/>
              <w:rPr>
                <w:bCs/>
                <w:sz w:val="20"/>
                <w:szCs w:val="20"/>
                <w:lang w:val="en-GB"/>
              </w:rPr>
            </w:pPr>
            <w:r w:rsidRPr="00813555">
              <w:rPr>
                <w:bCs/>
                <w:sz w:val="20"/>
                <w:szCs w:val="20"/>
                <w:lang w:val="en-GB"/>
              </w:rPr>
              <w:t>Fraction</w:t>
            </w:r>
          </w:p>
        </w:tc>
        <w:tc>
          <w:tcPr>
            <w:tcW w:w="1336" w:type="dxa"/>
            <w:tcBorders>
              <w:top w:val="single" w:sz="12" w:space="0" w:color="auto"/>
              <w:left w:val="single" w:sz="4" w:space="0" w:color="auto"/>
              <w:bottom w:val="single" w:sz="12" w:space="0" w:color="auto"/>
              <w:right w:val="single" w:sz="4" w:space="0" w:color="auto"/>
            </w:tcBorders>
            <w:tcMar>
              <w:left w:w="28" w:type="dxa"/>
              <w:right w:w="28" w:type="dxa"/>
            </w:tcMar>
            <w:vAlign w:val="center"/>
          </w:tcPr>
          <w:p w:rsidR="004C6E7E" w:rsidRPr="00813555" w:rsidRDefault="004C6E7E" w:rsidP="004C6E7E">
            <w:pPr>
              <w:jc w:val="both"/>
              <w:rPr>
                <w:bCs/>
                <w:sz w:val="20"/>
                <w:szCs w:val="20"/>
                <w:lang w:val="en-GB"/>
              </w:rPr>
            </w:pPr>
            <w:r w:rsidRPr="00813555">
              <w:rPr>
                <w:bCs/>
                <w:sz w:val="20"/>
                <w:szCs w:val="20"/>
                <w:lang w:val="en-GB"/>
              </w:rPr>
              <w:t>Production (t/y)</w:t>
            </w:r>
          </w:p>
        </w:tc>
        <w:tc>
          <w:tcPr>
            <w:tcW w:w="1417" w:type="dxa"/>
            <w:tcBorders>
              <w:top w:val="single" w:sz="12" w:space="0" w:color="auto"/>
              <w:left w:val="single" w:sz="4" w:space="0" w:color="auto"/>
              <w:bottom w:val="single" w:sz="12" w:space="0" w:color="auto"/>
              <w:right w:val="single" w:sz="4" w:space="0" w:color="auto"/>
            </w:tcBorders>
            <w:tcMar>
              <w:left w:w="28" w:type="dxa"/>
              <w:right w:w="28" w:type="dxa"/>
            </w:tcMar>
            <w:vAlign w:val="center"/>
          </w:tcPr>
          <w:p w:rsidR="004C6E7E" w:rsidRPr="00813555" w:rsidRDefault="004C6E7E" w:rsidP="004C6E7E">
            <w:pPr>
              <w:jc w:val="both"/>
              <w:rPr>
                <w:bCs/>
                <w:sz w:val="20"/>
                <w:szCs w:val="20"/>
                <w:lang w:val="en-GB"/>
              </w:rPr>
            </w:pPr>
            <w:r w:rsidRPr="00813555">
              <w:rPr>
                <w:bCs/>
                <w:sz w:val="20"/>
                <w:szCs w:val="20"/>
                <w:lang w:val="en-GB"/>
              </w:rPr>
              <w:t>Percentage (%)</w:t>
            </w:r>
          </w:p>
        </w:tc>
        <w:tc>
          <w:tcPr>
            <w:tcW w:w="567" w:type="dxa"/>
            <w:tcBorders>
              <w:top w:val="single" w:sz="12" w:space="0" w:color="auto"/>
              <w:left w:val="single" w:sz="4" w:space="0" w:color="auto"/>
              <w:bottom w:val="single" w:sz="12" w:space="0" w:color="auto"/>
              <w:right w:val="single" w:sz="4" w:space="0" w:color="auto"/>
            </w:tcBorders>
            <w:tcMar>
              <w:left w:w="28" w:type="dxa"/>
              <w:right w:w="28" w:type="dxa"/>
            </w:tcMar>
            <w:vAlign w:val="center"/>
          </w:tcPr>
          <w:p w:rsidR="004C6E7E" w:rsidRPr="00813555" w:rsidRDefault="004C6E7E" w:rsidP="004C6E7E">
            <w:pPr>
              <w:jc w:val="both"/>
              <w:rPr>
                <w:sz w:val="20"/>
                <w:szCs w:val="20"/>
              </w:rPr>
            </w:pPr>
            <w:r w:rsidRPr="00813555">
              <w:rPr>
                <w:sz w:val="20"/>
                <w:szCs w:val="20"/>
              </w:rPr>
              <w:t>C (%)</w:t>
            </w:r>
          </w:p>
        </w:tc>
        <w:tc>
          <w:tcPr>
            <w:tcW w:w="567" w:type="dxa"/>
            <w:tcBorders>
              <w:top w:val="single" w:sz="12" w:space="0" w:color="auto"/>
              <w:left w:val="single" w:sz="4" w:space="0" w:color="auto"/>
              <w:bottom w:val="single" w:sz="12" w:space="0" w:color="auto"/>
              <w:right w:val="single" w:sz="4" w:space="0" w:color="auto"/>
            </w:tcBorders>
            <w:tcMar>
              <w:left w:w="28" w:type="dxa"/>
              <w:right w:w="28" w:type="dxa"/>
            </w:tcMar>
            <w:vAlign w:val="center"/>
          </w:tcPr>
          <w:p w:rsidR="004C6E7E" w:rsidRPr="00813555" w:rsidRDefault="004C6E7E" w:rsidP="004C6E7E">
            <w:pPr>
              <w:jc w:val="both"/>
              <w:rPr>
                <w:sz w:val="20"/>
                <w:szCs w:val="20"/>
              </w:rPr>
            </w:pPr>
            <w:r w:rsidRPr="00813555">
              <w:rPr>
                <w:sz w:val="20"/>
                <w:szCs w:val="20"/>
              </w:rPr>
              <w:t>H (%)</w:t>
            </w:r>
          </w:p>
        </w:tc>
        <w:tc>
          <w:tcPr>
            <w:tcW w:w="567" w:type="dxa"/>
            <w:tcBorders>
              <w:top w:val="single" w:sz="12" w:space="0" w:color="auto"/>
              <w:left w:val="single" w:sz="4" w:space="0" w:color="auto"/>
              <w:bottom w:val="single" w:sz="12" w:space="0" w:color="auto"/>
              <w:right w:val="single" w:sz="4" w:space="0" w:color="auto"/>
            </w:tcBorders>
            <w:tcMar>
              <w:left w:w="28" w:type="dxa"/>
              <w:right w:w="28" w:type="dxa"/>
            </w:tcMar>
            <w:vAlign w:val="center"/>
          </w:tcPr>
          <w:p w:rsidR="004C6E7E" w:rsidRPr="00813555" w:rsidRDefault="004C6E7E" w:rsidP="004C6E7E">
            <w:pPr>
              <w:jc w:val="both"/>
              <w:rPr>
                <w:sz w:val="20"/>
                <w:szCs w:val="20"/>
              </w:rPr>
            </w:pPr>
            <w:r w:rsidRPr="00813555">
              <w:rPr>
                <w:sz w:val="20"/>
                <w:szCs w:val="20"/>
              </w:rPr>
              <w:t>O (%)</w:t>
            </w:r>
          </w:p>
        </w:tc>
        <w:tc>
          <w:tcPr>
            <w:tcW w:w="709" w:type="dxa"/>
            <w:tcBorders>
              <w:top w:val="single" w:sz="12" w:space="0" w:color="auto"/>
              <w:left w:val="single" w:sz="4" w:space="0" w:color="auto"/>
              <w:bottom w:val="single" w:sz="12" w:space="0" w:color="auto"/>
              <w:right w:val="single" w:sz="4" w:space="0" w:color="auto"/>
            </w:tcBorders>
            <w:tcMar>
              <w:left w:w="28" w:type="dxa"/>
              <w:right w:w="28" w:type="dxa"/>
            </w:tcMar>
            <w:vAlign w:val="center"/>
          </w:tcPr>
          <w:p w:rsidR="004C6E7E" w:rsidRPr="00813555" w:rsidRDefault="004C6E7E" w:rsidP="004C6E7E">
            <w:pPr>
              <w:jc w:val="both"/>
              <w:rPr>
                <w:sz w:val="20"/>
                <w:szCs w:val="20"/>
              </w:rPr>
            </w:pPr>
            <w:r w:rsidRPr="00813555">
              <w:rPr>
                <w:sz w:val="20"/>
                <w:szCs w:val="20"/>
              </w:rPr>
              <w:t>N (%)</w:t>
            </w:r>
          </w:p>
        </w:tc>
        <w:tc>
          <w:tcPr>
            <w:tcW w:w="567" w:type="dxa"/>
            <w:tcBorders>
              <w:top w:val="single" w:sz="12" w:space="0" w:color="auto"/>
              <w:left w:val="single" w:sz="4" w:space="0" w:color="auto"/>
              <w:bottom w:val="single" w:sz="12" w:space="0" w:color="auto"/>
              <w:right w:val="single" w:sz="4" w:space="0" w:color="auto"/>
            </w:tcBorders>
            <w:tcMar>
              <w:left w:w="28" w:type="dxa"/>
              <w:right w:w="28" w:type="dxa"/>
            </w:tcMar>
            <w:vAlign w:val="center"/>
          </w:tcPr>
          <w:p w:rsidR="004C6E7E" w:rsidRPr="00813555" w:rsidRDefault="004C6E7E" w:rsidP="004C6E7E">
            <w:pPr>
              <w:jc w:val="both"/>
              <w:rPr>
                <w:sz w:val="20"/>
                <w:szCs w:val="20"/>
              </w:rPr>
            </w:pPr>
            <w:r w:rsidRPr="00813555">
              <w:rPr>
                <w:sz w:val="20"/>
                <w:szCs w:val="20"/>
              </w:rPr>
              <w:t>S (%)</w:t>
            </w:r>
          </w:p>
        </w:tc>
        <w:tc>
          <w:tcPr>
            <w:tcW w:w="1134" w:type="dxa"/>
            <w:tcBorders>
              <w:top w:val="single" w:sz="12" w:space="0" w:color="auto"/>
              <w:left w:val="single" w:sz="4" w:space="0" w:color="auto"/>
              <w:bottom w:val="single" w:sz="12" w:space="0" w:color="auto"/>
              <w:right w:val="single" w:sz="4" w:space="0" w:color="auto"/>
            </w:tcBorders>
            <w:tcMar>
              <w:left w:w="28" w:type="dxa"/>
              <w:right w:w="28" w:type="dxa"/>
            </w:tcMar>
            <w:vAlign w:val="center"/>
          </w:tcPr>
          <w:p w:rsidR="004C6E7E" w:rsidRPr="00813555" w:rsidRDefault="004C6E7E" w:rsidP="004C6E7E">
            <w:pPr>
              <w:jc w:val="both"/>
              <w:rPr>
                <w:sz w:val="20"/>
                <w:szCs w:val="20"/>
              </w:rPr>
            </w:pPr>
            <w:r w:rsidRPr="00813555">
              <w:rPr>
                <w:sz w:val="20"/>
                <w:szCs w:val="20"/>
              </w:rPr>
              <w:t>Moisture (%)</w:t>
            </w:r>
          </w:p>
        </w:tc>
        <w:tc>
          <w:tcPr>
            <w:tcW w:w="809" w:type="dxa"/>
            <w:tcBorders>
              <w:top w:val="single" w:sz="12" w:space="0" w:color="auto"/>
              <w:left w:val="single" w:sz="4" w:space="0" w:color="auto"/>
              <w:bottom w:val="single" w:sz="12" w:space="0" w:color="auto"/>
            </w:tcBorders>
            <w:tcMar>
              <w:left w:w="28" w:type="dxa"/>
              <w:right w:w="28" w:type="dxa"/>
            </w:tcMar>
            <w:vAlign w:val="center"/>
          </w:tcPr>
          <w:p w:rsidR="004C6E7E" w:rsidRPr="00813555" w:rsidRDefault="004C6E7E" w:rsidP="004C6E7E">
            <w:pPr>
              <w:jc w:val="both"/>
              <w:rPr>
                <w:sz w:val="20"/>
                <w:szCs w:val="20"/>
              </w:rPr>
            </w:pPr>
            <w:r w:rsidRPr="00813555">
              <w:rPr>
                <w:sz w:val="20"/>
                <w:szCs w:val="20"/>
              </w:rPr>
              <w:t>Ash (%)</w:t>
            </w:r>
          </w:p>
        </w:tc>
      </w:tr>
      <w:tr w:rsidR="009B5EBE" w:rsidRPr="00813555" w:rsidTr="00EE3C72">
        <w:trPr>
          <w:trHeight w:val="294"/>
          <w:jc w:val="center"/>
        </w:trPr>
        <w:tc>
          <w:tcPr>
            <w:tcW w:w="1301" w:type="dxa"/>
            <w:tcBorders>
              <w:top w:val="single" w:sz="12" w:space="0" w:color="auto"/>
              <w:bottom w:val="single" w:sz="4" w:space="0" w:color="auto"/>
              <w:right w:val="single" w:sz="4" w:space="0" w:color="auto"/>
            </w:tcBorders>
            <w:tcMar>
              <w:left w:w="28" w:type="dxa"/>
              <w:right w:w="28" w:type="dxa"/>
            </w:tcMar>
            <w:vAlign w:val="center"/>
          </w:tcPr>
          <w:p w:rsidR="004C6E7E" w:rsidRPr="00813555" w:rsidRDefault="004C6E7E" w:rsidP="004C6E7E">
            <w:pPr>
              <w:jc w:val="both"/>
              <w:rPr>
                <w:sz w:val="20"/>
                <w:szCs w:val="20"/>
                <w:lang w:val="en-GB"/>
              </w:rPr>
            </w:pPr>
            <w:r w:rsidRPr="00813555">
              <w:rPr>
                <w:sz w:val="20"/>
                <w:szCs w:val="20"/>
                <w:lang w:val="en-GB"/>
              </w:rPr>
              <w:t>Food waste</w:t>
            </w:r>
          </w:p>
        </w:tc>
        <w:tc>
          <w:tcPr>
            <w:tcW w:w="1336" w:type="dxa"/>
            <w:tcBorders>
              <w:top w:val="single" w:sz="12"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9,011.49</w:t>
            </w:r>
          </w:p>
        </w:tc>
        <w:tc>
          <w:tcPr>
            <w:tcW w:w="1417" w:type="dxa"/>
            <w:tcBorders>
              <w:top w:val="single" w:sz="12"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13.79</w:t>
            </w:r>
          </w:p>
        </w:tc>
        <w:tc>
          <w:tcPr>
            <w:tcW w:w="567" w:type="dxa"/>
            <w:tcBorders>
              <w:top w:val="single" w:sz="12"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48.0</w:t>
            </w:r>
          </w:p>
        </w:tc>
        <w:tc>
          <w:tcPr>
            <w:tcW w:w="567" w:type="dxa"/>
            <w:tcBorders>
              <w:top w:val="single" w:sz="12"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6.4</w:t>
            </w:r>
          </w:p>
        </w:tc>
        <w:tc>
          <w:tcPr>
            <w:tcW w:w="567" w:type="dxa"/>
            <w:tcBorders>
              <w:top w:val="single" w:sz="12"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37.6</w:t>
            </w:r>
          </w:p>
        </w:tc>
        <w:tc>
          <w:tcPr>
            <w:tcW w:w="709" w:type="dxa"/>
            <w:tcBorders>
              <w:top w:val="single" w:sz="12"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2.6</w:t>
            </w:r>
          </w:p>
        </w:tc>
        <w:tc>
          <w:tcPr>
            <w:tcW w:w="567" w:type="dxa"/>
            <w:tcBorders>
              <w:top w:val="single" w:sz="12"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0.4</w:t>
            </w:r>
          </w:p>
        </w:tc>
        <w:tc>
          <w:tcPr>
            <w:tcW w:w="1134" w:type="dxa"/>
            <w:tcBorders>
              <w:top w:val="single" w:sz="12"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70.0</w:t>
            </w:r>
          </w:p>
        </w:tc>
        <w:tc>
          <w:tcPr>
            <w:tcW w:w="809" w:type="dxa"/>
            <w:tcBorders>
              <w:top w:val="single" w:sz="12" w:space="0" w:color="auto"/>
              <w:left w:val="single" w:sz="4" w:space="0" w:color="auto"/>
              <w:bottom w:val="single" w:sz="4" w:space="0" w:color="auto"/>
            </w:tcBorders>
          </w:tcPr>
          <w:p w:rsidR="004C6E7E" w:rsidRPr="00813555" w:rsidRDefault="004C6E7E" w:rsidP="00896213">
            <w:pPr>
              <w:jc w:val="right"/>
              <w:rPr>
                <w:sz w:val="20"/>
                <w:szCs w:val="20"/>
                <w:lang w:val="en-GB"/>
              </w:rPr>
            </w:pPr>
            <w:r w:rsidRPr="00813555">
              <w:rPr>
                <w:sz w:val="20"/>
                <w:szCs w:val="20"/>
                <w:lang w:val="en-GB"/>
              </w:rPr>
              <w:t>5.0</w:t>
            </w:r>
          </w:p>
        </w:tc>
      </w:tr>
      <w:tr w:rsidR="00A936B8" w:rsidRPr="00813555" w:rsidTr="00EE3C72">
        <w:trPr>
          <w:trHeight w:val="307"/>
          <w:jc w:val="center"/>
        </w:trPr>
        <w:tc>
          <w:tcPr>
            <w:tcW w:w="1301" w:type="dxa"/>
            <w:tcBorders>
              <w:top w:val="single" w:sz="4" w:space="0" w:color="auto"/>
              <w:bottom w:val="single" w:sz="4" w:space="0" w:color="auto"/>
              <w:right w:val="single" w:sz="4" w:space="0" w:color="auto"/>
            </w:tcBorders>
            <w:tcMar>
              <w:left w:w="28" w:type="dxa"/>
              <w:right w:w="28" w:type="dxa"/>
            </w:tcMar>
            <w:vAlign w:val="center"/>
          </w:tcPr>
          <w:p w:rsidR="004C6E7E" w:rsidRPr="00813555" w:rsidRDefault="004C6E7E" w:rsidP="004C6E7E">
            <w:pPr>
              <w:jc w:val="both"/>
              <w:rPr>
                <w:sz w:val="20"/>
                <w:szCs w:val="20"/>
                <w:lang w:val="en-GB"/>
              </w:rPr>
            </w:pPr>
            <w:r w:rsidRPr="00813555">
              <w:rPr>
                <w:sz w:val="20"/>
                <w:szCs w:val="20"/>
                <w:lang w:val="en-GB"/>
              </w:rPr>
              <w:t xml:space="preserve">Paper </w:t>
            </w:r>
          </w:p>
        </w:tc>
        <w:tc>
          <w:tcPr>
            <w:tcW w:w="1336"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7,515.02</w:t>
            </w:r>
          </w:p>
        </w:tc>
        <w:tc>
          <w:tcPr>
            <w:tcW w:w="141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11.50</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43.5</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6.0</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44.0</w:t>
            </w:r>
          </w:p>
        </w:tc>
        <w:tc>
          <w:tcPr>
            <w:tcW w:w="709"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0.3</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0.2</w:t>
            </w:r>
          </w:p>
        </w:tc>
        <w:tc>
          <w:tcPr>
            <w:tcW w:w="1134"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6.0</w:t>
            </w:r>
          </w:p>
        </w:tc>
        <w:tc>
          <w:tcPr>
            <w:tcW w:w="809" w:type="dxa"/>
            <w:tcBorders>
              <w:top w:val="single" w:sz="4" w:space="0" w:color="auto"/>
              <w:left w:val="single" w:sz="4" w:space="0" w:color="auto"/>
              <w:bottom w:val="single" w:sz="4" w:space="0" w:color="auto"/>
            </w:tcBorders>
          </w:tcPr>
          <w:p w:rsidR="004C6E7E" w:rsidRPr="00813555" w:rsidRDefault="004C6E7E" w:rsidP="00896213">
            <w:pPr>
              <w:jc w:val="right"/>
              <w:rPr>
                <w:sz w:val="20"/>
                <w:szCs w:val="20"/>
                <w:lang w:val="en-GB"/>
              </w:rPr>
            </w:pPr>
            <w:r w:rsidRPr="00813555">
              <w:rPr>
                <w:sz w:val="20"/>
                <w:szCs w:val="20"/>
                <w:lang w:val="en-GB"/>
              </w:rPr>
              <w:t>6.0</w:t>
            </w:r>
          </w:p>
        </w:tc>
      </w:tr>
      <w:tr w:rsidR="00A936B8" w:rsidRPr="00813555" w:rsidTr="00EE3C72">
        <w:trPr>
          <w:trHeight w:val="307"/>
          <w:jc w:val="center"/>
        </w:trPr>
        <w:tc>
          <w:tcPr>
            <w:tcW w:w="1301" w:type="dxa"/>
            <w:tcBorders>
              <w:top w:val="single" w:sz="4" w:space="0" w:color="auto"/>
              <w:bottom w:val="single" w:sz="4" w:space="0" w:color="auto"/>
              <w:right w:val="single" w:sz="4" w:space="0" w:color="auto"/>
            </w:tcBorders>
            <w:tcMar>
              <w:left w:w="28" w:type="dxa"/>
              <w:right w:w="28" w:type="dxa"/>
            </w:tcMar>
            <w:vAlign w:val="center"/>
          </w:tcPr>
          <w:p w:rsidR="004C6E7E" w:rsidRPr="00813555" w:rsidRDefault="004C6E7E" w:rsidP="004C6E7E">
            <w:pPr>
              <w:jc w:val="both"/>
              <w:rPr>
                <w:sz w:val="20"/>
                <w:szCs w:val="20"/>
                <w:lang w:val="en-GB"/>
              </w:rPr>
            </w:pPr>
            <w:r w:rsidRPr="00813555">
              <w:rPr>
                <w:sz w:val="20"/>
                <w:szCs w:val="20"/>
                <w:lang w:val="en-GB"/>
              </w:rPr>
              <w:t>Diapers</w:t>
            </w:r>
          </w:p>
        </w:tc>
        <w:tc>
          <w:tcPr>
            <w:tcW w:w="1336"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2,287.18</w:t>
            </w:r>
          </w:p>
        </w:tc>
        <w:tc>
          <w:tcPr>
            <w:tcW w:w="141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3.5</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35.5</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5.67</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44.0</w:t>
            </w:r>
          </w:p>
        </w:tc>
        <w:tc>
          <w:tcPr>
            <w:tcW w:w="709"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&lt;0.1</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w:t>
            </w:r>
          </w:p>
        </w:tc>
        <w:tc>
          <w:tcPr>
            <w:tcW w:w="1134"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p>
        </w:tc>
        <w:tc>
          <w:tcPr>
            <w:tcW w:w="809" w:type="dxa"/>
            <w:tcBorders>
              <w:top w:val="single" w:sz="4" w:space="0" w:color="auto"/>
              <w:left w:val="single" w:sz="4" w:space="0" w:color="auto"/>
              <w:bottom w:val="single" w:sz="4" w:space="0" w:color="auto"/>
            </w:tcBorders>
          </w:tcPr>
          <w:p w:rsidR="004C6E7E" w:rsidRPr="00813555" w:rsidRDefault="004C6E7E" w:rsidP="00896213">
            <w:pPr>
              <w:jc w:val="right"/>
              <w:rPr>
                <w:sz w:val="20"/>
                <w:szCs w:val="20"/>
                <w:lang w:val="en-GB"/>
              </w:rPr>
            </w:pPr>
          </w:p>
        </w:tc>
      </w:tr>
      <w:tr w:rsidR="00A936B8" w:rsidRPr="00813555" w:rsidTr="00EE3C72">
        <w:trPr>
          <w:trHeight w:val="307"/>
          <w:jc w:val="center"/>
        </w:trPr>
        <w:tc>
          <w:tcPr>
            <w:tcW w:w="1301" w:type="dxa"/>
            <w:tcBorders>
              <w:top w:val="single" w:sz="4" w:space="0" w:color="auto"/>
              <w:bottom w:val="single" w:sz="4" w:space="0" w:color="auto"/>
              <w:right w:val="single" w:sz="4" w:space="0" w:color="auto"/>
            </w:tcBorders>
            <w:tcMar>
              <w:left w:w="28" w:type="dxa"/>
              <w:right w:w="28" w:type="dxa"/>
            </w:tcMar>
            <w:vAlign w:val="center"/>
          </w:tcPr>
          <w:p w:rsidR="004C6E7E" w:rsidRPr="00813555" w:rsidRDefault="004C6E7E" w:rsidP="004C6E7E">
            <w:pPr>
              <w:jc w:val="both"/>
              <w:rPr>
                <w:sz w:val="20"/>
                <w:szCs w:val="20"/>
                <w:lang w:val="en-GB"/>
              </w:rPr>
            </w:pPr>
            <w:r w:rsidRPr="00813555">
              <w:rPr>
                <w:sz w:val="20"/>
                <w:szCs w:val="20"/>
                <w:lang w:val="en-GB"/>
              </w:rPr>
              <w:t>Plastics</w:t>
            </w:r>
          </w:p>
        </w:tc>
        <w:tc>
          <w:tcPr>
            <w:tcW w:w="1336"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14,265.47</w:t>
            </w:r>
          </w:p>
        </w:tc>
        <w:tc>
          <w:tcPr>
            <w:tcW w:w="141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21.83</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60.0</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7.2</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22.8</w:t>
            </w:r>
          </w:p>
        </w:tc>
        <w:tc>
          <w:tcPr>
            <w:tcW w:w="709"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w:t>
            </w:r>
          </w:p>
        </w:tc>
        <w:tc>
          <w:tcPr>
            <w:tcW w:w="1134"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2.0</w:t>
            </w:r>
          </w:p>
        </w:tc>
        <w:tc>
          <w:tcPr>
            <w:tcW w:w="809" w:type="dxa"/>
            <w:tcBorders>
              <w:top w:val="single" w:sz="4" w:space="0" w:color="auto"/>
              <w:left w:val="single" w:sz="4" w:space="0" w:color="auto"/>
              <w:bottom w:val="single" w:sz="4" w:space="0" w:color="auto"/>
            </w:tcBorders>
          </w:tcPr>
          <w:p w:rsidR="004C6E7E" w:rsidRPr="00813555" w:rsidRDefault="004C6E7E" w:rsidP="00896213">
            <w:pPr>
              <w:jc w:val="right"/>
              <w:rPr>
                <w:sz w:val="20"/>
                <w:szCs w:val="20"/>
                <w:lang w:val="en-GB"/>
              </w:rPr>
            </w:pPr>
            <w:r w:rsidRPr="00813555">
              <w:rPr>
                <w:sz w:val="20"/>
                <w:szCs w:val="20"/>
                <w:lang w:val="en-GB"/>
              </w:rPr>
              <w:t>10.0</w:t>
            </w:r>
          </w:p>
        </w:tc>
      </w:tr>
      <w:tr w:rsidR="00A936B8" w:rsidRPr="00813555" w:rsidTr="00EE3C72">
        <w:trPr>
          <w:trHeight w:val="294"/>
          <w:jc w:val="center"/>
        </w:trPr>
        <w:tc>
          <w:tcPr>
            <w:tcW w:w="1301" w:type="dxa"/>
            <w:tcBorders>
              <w:top w:val="single" w:sz="4" w:space="0" w:color="auto"/>
              <w:bottom w:val="single" w:sz="4" w:space="0" w:color="auto"/>
              <w:right w:val="single" w:sz="4" w:space="0" w:color="auto"/>
            </w:tcBorders>
            <w:tcMar>
              <w:left w:w="28" w:type="dxa"/>
              <w:right w:w="28" w:type="dxa"/>
            </w:tcMar>
            <w:vAlign w:val="center"/>
          </w:tcPr>
          <w:p w:rsidR="004C6E7E" w:rsidRPr="00813555" w:rsidRDefault="004C6E7E" w:rsidP="004C6E7E">
            <w:pPr>
              <w:jc w:val="both"/>
              <w:rPr>
                <w:sz w:val="20"/>
                <w:szCs w:val="20"/>
                <w:lang w:val="en-GB"/>
              </w:rPr>
            </w:pPr>
            <w:r w:rsidRPr="00813555">
              <w:rPr>
                <w:sz w:val="20"/>
                <w:szCs w:val="20"/>
                <w:lang w:val="en-GB"/>
              </w:rPr>
              <w:t>Textile</w:t>
            </w:r>
          </w:p>
        </w:tc>
        <w:tc>
          <w:tcPr>
            <w:tcW w:w="1336"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1,718.65</w:t>
            </w:r>
          </w:p>
        </w:tc>
        <w:tc>
          <w:tcPr>
            <w:tcW w:w="141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2.63</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55.0</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6.6</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31.2</w:t>
            </w:r>
          </w:p>
        </w:tc>
        <w:tc>
          <w:tcPr>
            <w:tcW w:w="709"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4.6</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0.15</w:t>
            </w:r>
          </w:p>
        </w:tc>
        <w:tc>
          <w:tcPr>
            <w:tcW w:w="1134"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10.0</w:t>
            </w:r>
          </w:p>
        </w:tc>
        <w:tc>
          <w:tcPr>
            <w:tcW w:w="809" w:type="dxa"/>
            <w:tcBorders>
              <w:top w:val="single" w:sz="4" w:space="0" w:color="auto"/>
              <w:left w:val="single" w:sz="4" w:space="0" w:color="auto"/>
              <w:bottom w:val="single" w:sz="4" w:space="0" w:color="auto"/>
            </w:tcBorders>
          </w:tcPr>
          <w:p w:rsidR="004C6E7E" w:rsidRPr="00813555" w:rsidRDefault="004C6E7E" w:rsidP="00896213">
            <w:pPr>
              <w:jc w:val="right"/>
              <w:rPr>
                <w:sz w:val="20"/>
                <w:szCs w:val="20"/>
                <w:lang w:val="en-GB"/>
              </w:rPr>
            </w:pPr>
            <w:r w:rsidRPr="00813555">
              <w:rPr>
                <w:sz w:val="20"/>
                <w:szCs w:val="20"/>
                <w:lang w:val="en-GB"/>
              </w:rPr>
              <w:t>2.5</w:t>
            </w:r>
          </w:p>
        </w:tc>
      </w:tr>
      <w:tr w:rsidR="00A936B8" w:rsidRPr="00813555" w:rsidTr="00EE3C72">
        <w:trPr>
          <w:trHeight w:val="294"/>
          <w:jc w:val="center"/>
        </w:trPr>
        <w:tc>
          <w:tcPr>
            <w:tcW w:w="1301" w:type="dxa"/>
            <w:tcBorders>
              <w:top w:val="single" w:sz="4" w:space="0" w:color="auto"/>
              <w:bottom w:val="single" w:sz="4" w:space="0" w:color="auto"/>
              <w:right w:val="single" w:sz="4" w:space="0" w:color="auto"/>
            </w:tcBorders>
            <w:tcMar>
              <w:left w:w="28" w:type="dxa"/>
              <w:right w:w="28" w:type="dxa"/>
            </w:tcMar>
            <w:vAlign w:val="center"/>
          </w:tcPr>
          <w:p w:rsidR="004C6E7E" w:rsidRPr="00813555" w:rsidRDefault="004C6E7E" w:rsidP="004C6E7E">
            <w:pPr>
              <w:jc w:val="both"/>
              <w:rPr>
                <w:sz w:val="20"/>
                <w:szCs w:val="20"/>
                <w:lang w:val="en-GB"/>
              </w:rPr>
            </w:pPr>
            <w:r w:rsidRPr="00813555">
              <w:rPr>
                <w:sz w:val="20"/>
                <w:szCs w:val="20"/>
                <w:lang w:val="en-GB"/>
              </w:rPr>
              <w:t>Rubber</w:t>
            </w:r>
          </w:p>
        </w:tc>
        <w:tc>
          <w:tcPr>
            <w:tcW w:w="1336"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3,430.77</w:t>
            </w:r>
          </w:p>
        </w:tc>
        <w:tc>
          <w:tcPr>
            <w:tcW w:w="141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5.25</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78.0</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10.0</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w:t>
            </w:r>
          </w:p>
        </w:tc>
        <w:tc>
          <w:tcPr>
            <w:tcW w:w="709"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2.0</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w:t>
            </w:r>
          </w:p>
        </w:tc>
        <w:tc>
          <w:tcPr>
            <w:tcW w:w="1134"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2.0</w:t>
            </w:r>
          </w:p>
        </w:tc>
        <w:tc>
          <w:tcPr>
            <w:tcW w:w="809" w:type="dxa"/>
            <w:tcBorders>
              <w:top w:val="single" w:sz="4" w:space="0" w:color="auto"/>
              <w:left w:val="single" w:sz="4" w:space="0" w:color="auto"/>
              <w:bottom w:val="single" w:sz="4" w:space="0" w:color="auto"/>
            </w:tcBorders>
          </w:tcPr>
          <w:p w:rsidR="004C6E7E" w:rsidRPr="00813555" w:rsidRDefault="004C6E7E" w:rsidP="00896213">
            <w:pPr>
              <w:jc w:val="right"/>
              <w:rPr>
                <w:sz w:val="20"/>
                <w:szCs w:val="20"/>
                <w:lang w:val="en-GB"/>
              </w:rPr>
            </w:pPr>
            <w:r w:rsidRPr="00813555">
              <w:rPr>
                <w:sz w:val="20"/>
                <w:szCs w:val="20"/>
                <w:lang w:val="en-GB"/>
              </w:rPr>
              <w:t>10.0</w:t>
            </w:r>
          </w:p>
        </w:tc>
      </w:tr>
      <w:tr w:rsidR="00A936B8" w:rsidRPr="00813555" w:rsidTr="00EE3C72">
        <w:trPr>
          <w:trHeight w:val="307"/>
          <w:jc w:val="center"/>
        </w:trPr>
        <w:tc>
          <w:tcPr>
            <w:tcW w:w="1301" w:type="dxa"/>
            <w:tcBorders>
              <w:top w:val="single" w:sz="4" w:space="0" w:color="auto"/>
              <w:bottom w:val="single" w:sz="4" w:space="0" w:color="auto"/>
              <w:right w:val="single" w:sz="4" w:space="0" w:color="auto"/>
            </w:tcBorders>
            <w:tcMar>
              <w:left w:w="28" w:type="dxa"/>
              <w:right w:w="28" w:type="dxa"/>
            </w:tcMar>
            <w:vAlign w:val="center"/>
          </w:tcPr>
          <w:p w:rsidR="004C6E7E" w:rsidRPr="00813555" w:rsidRDefault="004C6E7E" w:rsidP="004C6E7E">
            <w:pPr>
              <w:jc w:val="both"/>
              <w:rPr>
                <w:sz w:val="20"/>
                <w:szCs w:val="20"/>
                <w:lang w:val="en-GB"/>
              </w:rPr>
            </w:pPr>
            <w:r w:rsidRPr="00813555">
              <w:rPr>
                <w:sz w:val="20"/>
                <w:szCs w:val="20"/>
                <w:lang w:val="en-GB"/>
              </w:rPr>
              <w:t>Leather</w:t>
            </w:r>
          </w:p>
        </w:tc>
        <w:tc>
          <w:tcPr>
            <w:tcW w:w="1336"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398.62</w:t>
            </w:r>
          </w:p>
        </w:tc>
        <w:tc>
          <w:tcPr>
            <w:tcW w:w="141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0.61</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60.0</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8.0</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11.6</w:t>
            </w:r>
          </w:p>
        </w:tc>
        <w:tc>
          <w:tcPr>
            <w:tcW w:w="709"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10.0</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0.4</w:t>
            </w:r>
          </w:p>
        </w:tc>
        <w:tc>
          <w:tcPr>
            <w:tcW w:w="1134"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10.0</w:t>
            </w:r>
          </w:p>
        </w:tc>
        <w:tc>
          <w:tcPr>
            <w:tcW w:w="809" w:type="dxa"/>
            <w:tcBorders>
              <w:top w:val="single" w:sz="4" w:space="0" w:color="auto"/>
              <w:left w:val="single" w:sz="4" w:space="0" w:color="auto"/>
              <w:bottom w:val="single" w:sz="4" w:space="0" w:color="auto"/>
            </w:tcBorders>
          </w:tcPr>
          <w:p w:rsidR="004C6E7E" w:rsidRPr="00813555" w:rsidRDefault="004C6E7E" w:rsidP="00896213">
            <w:pPr>
              <w:jc w:val="right"/>
              <w:rPr>
                <w:sz w:val="20"/>
                <w:szCs w:val="20"/>
                <w:lang w:val="en-GB"/>
              </w:rPr>
            </w:pPr>
            <w:r w:rsidRPr="00813555">
              <w:rPr>
                <w:sz w:val="20"/>
                <w:szCs w:val="20"/>
                <w:lang w:val="en-GB"/>
              </w:rPr>
              <w:t>10.0</w:t>
            </w:r>
          </w:p>
        </w:tc>
      </w:tr>
      <w:tr w:rsidR="00A936B8" w:rsidRPr="00813555" w:rsidTr="00EE3C72">
        <w:trPr>
          <w:trHeight w:val="307"/>
          <w:jc w:val="center"/>
        </w:trPr>
        <w:tc>
          <w:tcPr>
            <w:tcW w:w="1301" w:type="dxa"/>
            <w:tcBorders>
              <w:top w:val="single" w:sz="4" w:space="0" w:color="auto"/>
              <w:bottom w:val="single" w:sz="4" w:space="0" w:color="auto"/>
              <w:right w:val="single" w:sz="4" w:space="0" w:color="auto"/>
            </w:tcBorders>
            <w:tcMar>
              <w:left w:w="28" w:type="dxa"/>
              <w:right w:w="28" w:type="dxa"/>
            </w:tcMar>
            <w:vAlign w:val="center"/>
          </w:tcPr>
          <w:p w:rsidR="004C6E7E" w:rsidRPr="00813555" w:rsidRDefault="004C6E7E" w:rsidP="004C6E7E">
            <w:pPr>
              <w:jc w:val="both"/>
              <w:rPr>
                <w:sz w:val="20"/>
                <w:szCs w:val="20"/>
                <w:lang w:val="en-GB"/>
              </w:rPr>
            </w:pPr>
            <w:r w:rsidRPr="00813555">
              <w:rPr>
                <w:sz w:val="20"/>
                <w:szCs w:val="20"/>
                <w:lang w:val="en-GB"/>
              </w:rPr>
              <w:t>Yard waste</w:t>
            </w:r>
          </w:p>
        </w:tc>
        <w:tc>
          <w:tcPr>
            <w:tcW w:w="1336"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8,854.65</w:t>
            </w:r>
          </w:p>
        </w:tc>
        <w:tc>
          <w:tcPr>
            <w:tcW w:w="141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13.55</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47.8</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6.0</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38.0</w:t>
            </w:r>
          </w:p>
        </w:tc>
        <w:tc>
          <w:tcPr>
            <w:tcW w:w="709"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3.4</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0.3</w:t>
            </w:r>
          </w:p>
        </w:tc>
        <w:tc>
          <w:tcPr>
            <w:tcW w:w="1134"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60.0</w:t>
            </w:r>
          </w:p>
        </w:tc>
        <w:tc>
          <w:tcPr>
            <w:tcW w:w="809" w:type="dxa"/>
            <w:tcBorders>
              <w:top w:val="single" w:sz="4" w:space="0" w:color="auto"/>
              <w:left w:val="single" w:sz="4" w:space="0" w:color="auto"/>
              <w:bottom w:val="single" w:sz="4" w:space="0" w:color="auto"/>
            </w:tcBorders>
          </w:tcPr>
          <w:p w:rsidR="004C6E7E" w:rsidRPr="00813555" w:rsidRDefault="004C6E7E" w:rsidP="00896213">
            <w:pPr>
              <w:jc w:val="right"/>
              <w:rPr>
                <w:sz w:val="20"/>
                <w:szCs w:val="20"/>
                <w:lang w:val="en-GB"/>
              </w:rPr>
            </w:pPr>
            <w:r w:rsidRPr="00813555">
              <w:rPr>
                <w:sz w:val="20"/>
                <w:szCs w:val="20"/>
                <w:lang w:val="en-GB"/>
              </w:rPr>
              <w:t>4.5</w:t>
            </w:r>
          </w:p>
        </w:tc>
      </w:tr>
      <w:tr w:rsidR="00A936B8" w:rsidRPr="00813555" w:rsidTr="00EE3C72">
        <w:trPr>
          <w:trHeight w:val="294"/>
          <w:jc w:val="center"/>
        </w:trPr>
        <w:tc>
          <w:tcPr>
            <w:tcW w:w="1301" w:type="dxa"/>
            <w:tcBorders>
              <w:top w:val="single" w:sz="4" w:space="0" w:color="auto"/>
              <w:bottom w:val="single" w:sz="4" w:space="0" w:color="auto"/>
              <w:right w:val="single" w:sz="4" w:space="0" w:color="auto"/>
            </w:tcBorders>
            <w:tcMar>
              <w:left w:w="28" w:type="dxa"/>
              <w:right w:w="28" w:type="dxa"/>
            </w:tcMar>
            <w:vAlign w:val="center"/>
          </w:tcPr>
          <w:p w:rsidR="004C6E7E" w:rsidRPr="00813555" w:rsidRDefault="004C6E7E" w:rsidP="004C6E7E">
            <w:pPr>
              <w:jc w:val="both"/>
              <w:rPr>
                <w:sz w:val="20"/>
                <w:szCs w:val="20"/>
                <w:lang w:val="en-GB"/>
              </w:rPr>
            </w:pPr>
            <w:r w:rsidRPr="00813555">
              <w:rPr>
                <w:sz w:val="20"/>
                <w:szCs w:val="20"/>
                <w:lang w:val="en-GB"/>
              </w:rPr>
              <w:t>Glass</w:t>
            </w:r>
          </w:p>
        </w:tc>
        <w:tc>
          <w:tcPr>
            <w:tcW w:w="1336"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3,522.26</w:t>
            </w:r>
          </w:p>
        </w:tc>
        <w:tc>
          <w:tcPr>
            <w:tcW w:w="141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5.39</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0.5</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0.1</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0.4</w:t>
            </w:r>
          </w:p>
        </w:tc>
        <w:tc>
          <w:tcPr>
            <w:tcW w:w="709"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&lt;0.1</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w:t>
            </w:r>
          </w:p>
        </w:tc>
        <w:tc>
          <w:tcPr>
            <w:tcW w:w="1134"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2.0</w:t>
            </w:r>
          </w:p>
        </w:tc>
        <w:tc>
          <w:tcPr>
            <w:tcW w:w="809" w:type="dxa"/>
            <w:tcBorders>
              <w:top w:val="single" w:sz="4" w:space="0" w:color="auto"/>
              <w:left w:val="single" w:sz="4" w:space="0" w:color="auto"/>
              <w:bottom w:val="single" w:sz="4" w:space="0" w:color="auto"/>
            </w:tcBorders>
          </w:tcPr>
          <w:p w:rsidR="004C6E7E" w:rsidRPr="00813555" w:rsidRDefault="004C6E7E" w:rsidP="00896213">
            <w:pPr>
              <w:jc w:val="right"/>
              <w:rPr>
                <w:sz w:val="20"/>
                <w:szCs w:val="20"/>
                <w:lang w:val="en-GB"/>
              </w:rPr>
            </w:pPr>
            <w:r w:rsidRPr="00813555">
              <w:rPr>
                <w:sz w:val="20"/>
                <w:szCs w:val="20"/>
                <w:lang w:val="en-GB"/>
              </w:rPr>
              <w:t>98.9</w:t>
            </w:r>
          </w:p>
        </w:tc>
      </w:tr>
      <w:tr w:rsidR="00A936B8" w:rsidRPr="00813555" w:rsidTr="00EE3C72">
        <w:trPr>
          <w:trHeight w:val="294"/>
          <w:jc w:val="center"/>
        </w:trPr>
        <w:tc>
          <w:tcPr>
            <w:tcW w:w="1301" w:type="dxa"/>
            <w:tcBorders>
              <w:top w:val="single" w:sz="4" w:space="0" w:color="auto"/>
              <w:bottom w:val="single" w:sz="4" w:space="0" w:color="auto"/>
              <w:right w:val="single" w:sz="4" w:space="0" w:color="auto"/>
            </w:tcBorders>
            <w:tcMar>
              <w:left w:w="28" w:type="dxa"/>
              <w:right w:w="28" w:type="dxa"/>
            </w:tcMar>
            <w:vAlign w:val="center"/>
          </w:tcPr>
          <w:p w:rsidR="004C6E7E" w:rsidRPr="00813555" w:rsidRDefault="004C6E7E" w:rsidP="004C6E7E">
            <w:pPr>
              <w:jc w:val="both"/>
              <w:rPr>
                <w:sz w:val="20"/>
                <w:szCs w:val="20"/>
                <w:lang w:val="en-GB"/>
              </w:rPr>
            </w:pPr>
            <w:r w:rsidRPr="00813555">
              <w:rPr>
                <w:sz w:val="20"/>
                <w:szCs w:val="20"/>
                <w:lang w:val="en-GB"/>
              </w:rPr>
              <w:t>Metals</w:t>
            </w:r>
          </w:p>
        </w:tc>
        <w:tc>
          <w:tcPr>
            <w:tcW w:w="1336"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1,058.64</w:t>
            </w:r>
          </w:p>
        </w:tc>
        <w:tc>
          <w:tcPr>
            <w:tcW w:w="141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1.62</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4.5</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0.6</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4.3</w:t>
            </w:r>
          </w:p>
        </w:tc>
        <w:tc>
          <w:tcPr>
            <w:tcW w:w="709"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&lt;0.1</w:t>
            </w:r>
          </w:p>
        </w:tc>
        <w:tc>
          <w:tcPr>
            <w:tcW w:w="567"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w:t>
            </w:r>
          </w:p>
        </w:tc>
        <w:tc>
          <w:tcPr>
            <w:tcW w:w="1134" w:type="dxa"/>
            <w:tcBorders>
              <w:top w:val="single" w:sz="4" w:space="0" w:color="auto"/>
              <w:left w:val="single" w:sz="4" w:space="0" w:color="auto"/>
              <w:bottom w:val="single" w:sz="4"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3.0</w:t>
            </w:r>
          </w:p>
        </w:tc>
        <w:tc>
          <w:tcPr>
            <w:tcW w:w="809" w:type="dxa"/>
            <w:tcBorders>
              <w:top w:val="single" w:sz="4" w:space="0" w:color="auto"/>
              <w:left w:val="single" w:sz="4" w:space="0" w:color="auto"/>
              <w:bottom w:val="single" w:sz="4" w:space="0" w:color="auto"/>
            </w:tcBorders>
          </w:tcPr>
          <w:p w:rsidR="004C6E7E" w:rsidRPr="00813555" w:rsidRDefault="004C6E7E" w:rsidP="00896213">
            <w:pPr>
              <w:jc w:val="right"/>
              <w:rPr>
                <w:sz w:val="20"/>
                <w:szCs w:val="20"/>
                <w:lang w:val="en-GB"/>
              </w:rPr>
            </w:pPr>
            <w:r w:rsidRPr="00813555">
              <w:rPr>
                <w:sz w:val="20"/>
                <w:szCs w:val="20"/>
                <w:lang w:val="en-GB"/>
              </w:rPr>
              <w:t>90.5</w:t>
            </w:r>
          </w:p>
        </w:tc>
      </w:tr>
      <w:tr w:rsidR="009B5EBE" w:rsidRPr="00813555" w:rsidTr="00EE3C72">
        <w:trPr>
          <w:trHeight w:val="307"/>
          <w:jc w:val="center"/>
        </w:trPr>
        <w:tc>
          <w:tcPr>
            <w:tcW w:w="1301" w:type="dxa"/>
            <w:tcBorders>
              <w:top w:val="single" w:sz="4" w:space="0" w:color="auto"/>
              <w:bottom w:val="single" w:sz="12" w:space="0" w:color="auto"/>
              <w:right w:val="single" w:sz="4" w:space="0" w:color="auto"/>
            </w:tcBorders>
            <w:tcMar>
              <w:left w:w="28" w:type="dxa"/>
              <w:right w:w="28" w:type="dxa"/>
            </w:tcMar>
            <w:vAlign w:val="center"/>
          </w:tcPr>
          <w:p w:rsidR="004C6E7E" w:rsidRPr="00813555" w:rsidRDefault="004C6E7E" w:rsidP="004C6E7E">
            <w:pPr>
              <w:jc w:val="both"/>
              <w:rPr>
                <w:sz w:val="20"/>
                <w:szCs w:val="20"/>
                <w:lang w:val="en-GB"/>
              </w:rPr>
            </w:pPr>
            <w:r w:rsidRPr="00813555">
              <w:rPr>
                <w:sz w:val="20"/>
                <w:szCs w:val="20"/>
                <w:lang w:val="en-GB"/>
              </w:rPr>
              <w:t>Other</w:t>
            </w:r>
          </w:p>
        </w:tc>
        <w:tc>
          <w:tcPr>
            <w:tcW w:w="1336" w:type="dxa"/>
            <w:tcBorders>
              <w:top w:val="single" w:sz="4" w:space="0" w:color="auto"/>
              <w:left w:val="single" w:sz="4" w:space="0" w:color="auto"/>
              <w:bottom w:val="single" w:sz="12"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13,285.25</w:t>
            </w:r>
          </w:p>
        </w:tc>
        <w:tc>
          <w:tcPr>
            <w:tcW w:w="1417" w:type="dxa"/>
            <w:tcBorders>
              <w:top w:val="single" w:sz="4" w:space="0" w:color="auto"/>
              <w:left w:val="single" w:sz="4" w:space="0" w:color="auto"/>
              <w:bottom w:val="single" w:sz="12"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20.33</w:t>
            </w:r>
          </w:p>
        </w:tc>
        <w:tc>
          <w:tcPr>
            <w:tcW w:w="567" w:type="dxa"/>
            <w:tcBorders>
              <w:top w:val="single" w:sz="4" w:space="0" w:color="auto"/>
              <w:left w:val="single" w:sz="4" w:space="0" w:color="auto"/>
              <w:bottom w:val="single" w:sz="12" w:space="0" w:color="auto"/>
              <w:right w:val="single" w:sz="4" w:space="0" w:color="auto"/>
            </w:tcBorders>
            <w:vAlign w:val="center"/>
          </w:tcPr>
          <w:p w:rsidR="004C6E7E" w:rsidRPr="00813555" w:rsidRDefault="004C6E7E" w:rsidP="00896213">
            <w:pPr>
              <w:jc w:val="right"/>
              <w:rPr>
                <w:sz w:val="20"/>
                <w:szCs w:val="20"/>
                <w:lang w:val="en-GB"/>
              </w:rPr>
            </w:pPr>
            <w:r w:rsidRPr="00813555">
              <w:rPr>
                <w:sz w:val="20"/>
                <w:szCs w:val="20"/>
                <w:lang w:val="en-GB"/>
              </w:rPr>
              <w:t>26.3</w:t>
            </w:r>
          </w:p>
        </w:tc>
        <w:tc>
          <w:tcPr>
            <w:tcW w:w="567" w:type="dxa"/>
            <w:tcBorders>
              <w:top w:val="single" w:sz="4" w:space="0" w:color="auto"/>
              <w:left w:val="single" w:sz="4" w:space="0" w:color="auto"/>
              <w:bottom w:val="single" w:sz="12" w:space="0" w:color="auto"/>
              <w:right w:val="single" w:sz="4" w:space="0" w:color="auto"/>
            </w:tcBorders>
            <w:vAlign w:val="center"/>
          </w:tcPr>
          <w:p w:rsidR="004C6E7E" w:rsidRPr="00813555" w:rsidRDefault="004C6E7E" w:rsidP="00896213">
            <w:pPr>
              <w:jc w:val="right"/>
              <w:rPr>
                <w:sz w:val="20"/>
                <w:szCs w:val="20"/>
                <w:lang w:val="en-GB"/>
              </w:rPr>
            </w:pPr>
            <w:r w:rsidRPr="00813555">
              <w:rPr>
                <w:sz w:val="20"/>
                <w:szCs w:val="20"/>
                <w:lang w:val="en-GB"/>
              </w:rPr>
              <w:t>3.0</w:t>
            </w:r>
          </w:p>
        </w:tc>
        <w:tc>
          <w:tcPr>
            <w:tcW w:w="567" w:type="dxa"/>
            <w:tcBorders>
              <w:top w:val="single" w:sz="4" w:space="0" w:color="auto"/>
              <w:left w:val="single" w:sz="4" w:space="0" w:color="auto"/>
              <w:bottom w:val="single" w:sz="12" w:space="0" w:color="auto"/>
              <w:right w:val="single" w:sz="4" w:space="0" w:color="auto"/>
            </w:tcBorders>
            <w:vAlign w:val="center"/>
          </w:tcPr>
          <w:p w:rsidR="004C6E7E" w:rsidRPr="00813555" w:rsidRDefault="004C6E7E" w:rsidP="00896213">
            <w:pPr>
              <w:jc w:val="right"/>
              <w:rPr>
                <w:sz w:val="20"/>
                <w:szCs w:val="20"/>
                <w:lang w:val="en-GB"/>
              </w:rPr>
            </w:pPr>
            <w:r w:rsidRPr="00813555">
              <w:rPr>
                <w:sz w:val="20"/>
                <w:szCs w:val="20"/>
                <w:lang w:val="en-GB"/>
              </w:rPr>
              <w:t>2.0</w:t>
            </w:r>
          </w:p>
        </w:tc>
        <w:tc>
          <w:tcPr>
            <w:tcW w:w="709" w:type="dxa"/>
            <w:tcBorders>
              <w:top w:val="single" w:sz="4" w:space="0" w:color="auto"/>
              <w:left w:val="single" w:sz="4" w:space="0" w:color="auto"/>
              <w:bottom w:val="single" w:sz="12" w:space="0" w:color="auto"/>
              <w:right w:val="single" w:sz="4" w:space="0" w:color="auto"/>
            </w:tcBorders>
            <w:vAlign w:val="center"/>
          </w:tcPr>
          <w:p w:rsidR="004C6E7E" w:rsidRPr="00813555" w:rsidRDefault="004C6E7E" w:rsidP="00896213">
            <w:pPr>
              <w:jc w:val="right"/>
              <w:rPr>
                <w:sz w:val="20"/>
                <w:szCs w:val="20"/>
                <w:lang w:val="en-GB"/>
              </w:rPr>
            </w:pPr>
            <w:r w:rsidRPr="00813555">
              <w:rPr>
                <w:sz w:val="20"/>
                <w:szCs w:val="20"/>
                <w:lang w:val="en-GB"/>
              </w:rPr>
              <w:t>0.5</w:t>
            </w:r>
          </w:p>
        </w:tc>
        <w:tc>
          <w:tcPr>
            <w:tcW w:w="567" w:type="dxa"/>
            <w:tcBorders>
              <w:top w:val="single" w:sz="4" w:space="0" w:color="auto"/>
              <w:left w:val="single" w:sz="4" w:space="0" w:color="auto"/>
              <w:bottom w:val="single" w:sz="12" w:space="0" w:color="auto"/>
              <w:right w:val="single" w:sz="4" w:space="0" w:color="auto"/>
            </w:tcBorders>
            <w:vAlign w:val="center"/>
          </w:tcPr>
          <w:p w:rsidR="004C6E7E" w:rsidRPr="00813555" w:rsidRDefault="004C6E7E" w:rsidP="00896213">
            <w:pPr>
              <w:jc w:val="right"/>
              <w:rPr>
                <w:sz w:val="20"/>
                <w:szCs w:val="20"/>
                <w:lang w:val="en-GB"/>
              </w:rPr>
            </w:pPr>
            <w:r w:rsidRPr="00813555">
              <w:rPr>
                <w:sz w:val="20"/>
                <w:szCs w:val="20"/>
                <w:lang w:val="en-GB"/>
              </w:rPr>
              <w:t>0.2</w:t>
            </w:r>
          </w:p>
        </w:tc>
        <w:tc>
          <w:tcPr>
            <w:tcW w:w="1134" w:type="dxa"/>
            <w:tcBorders>
              <w:top w:val="single" w:sz="4" w:space="0" w:color="auto"/>
              <w:left w:val="single" w:sz="4" w:space="0" w:color="auto"/>
              <w:bottom w:val="single" w:sz="12"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8.0</w:t>
            </w:r>
          </w:p>
        </w:tc>
        <w:tc>
          <w:tcPr>
            <w:tcW w:w="809" w:type="dxa"/>
            <w:tcBorders>
              <w:top w:val="single" w:sz="4" w:space="0" w:color="auto"/>
              <w:left w:val="single" w:sz="4" w:space="0" w:color="auto"/>
              <w:bottom w:val="single" w:sz="12" w:space="0" w:color="auto"/>
            </w:tcBorders>
          </w:tcPr>
          <w:p w:rsidR="004C6E7E" w:rsidRPr="00813555" w:rsidRDefault="004C6E7E" w:rsidP="00896213">
            <w:pPr>
              <w:jc w:val="right"/>
              <w:rPr>
                <w:sz w:val="20"/>
                <w:szCs w:val="20"/>
                <w:lang w:val="en-GB"/>
              </w:rPr>
            </w:pPr>
            <w:r w:rsidRPr="00813555">
              <w:rPr>
                <w:sz w:val="20"/>
                <w:szCs w:val="20"/>
                <w:lang w:val="en-GB"/>
              </w:rPr>
              <w:t>68.0</w:t>
            </w:r>
          </w:p>
        </w:tc>
      </w:tr>
      <w:tr w:rsidR="009B5EBE" w:rsidRPr="00813555" w:rsidTr="00EE3C72">
        <w:trPr>
          <w:trHeight w:val="239"/>
          <w:jc w:val="center"/>
        </w:trPr>
        <w:tc>
          <w:tcPr>
            <w:tcW w:w="1301" w:type="dxa"/>
            <w:tcBorders>
              <w:top w:val="single" w:sz="12" w:space="0" w:color="auto"/>
              <w:bottom w:val="single" w:sz="12" w:space="0" w:color="auto"/>
              <w:right w:val="single" w:sz="4" w:space="0" w:color="auto"/>
            </w:tcBorders>
            <w:tcMar>
              <w:left w:w="28" w:type="dxa"/>
              <w:right w:w="28" w:type="dxa"/>
            </w:tcMar>
          </w:tcPr>
          <w:p w:rsidR="004C6E7E" w:rsidRPr="00813555" w:rsidRDefault="004C6E7E" w:rsidP="004C6E7E">
            <w:pPr>
              <w:jc w:val="both"/>
              <w:rPr>
                <w:sz w:val="20"/>
                <w:szCs w:val="20"/>
                <w:lang w:val="en-GB"/>
              </w:rPr>
            </w:pPr>
            <w:r w:rsidRPr="00813555">
              <w:rPr>
                <w:sz w:val="20"/>
                <w:szCs w:val="20"/>
                <w:lang w:val="en-GB"/>
              </w:rPr>
              <w:t>Total</w:t>
            </w:r>
          </w:p>
        </w:tc>
        <w:tc>
          <w:tcPr>
            <w:tcW w:w="1336" w:type="dxa"/>
            <w:tcBorders>
              <w:top w:val="single" w:sz="12" w:space="0" w:color="auto"/>
              <w:left w:val="single" w:sz="4" w:space="0" w:color="auto"/>
              <w:bottom w:val="single" w:sz="12"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65,348.00</w:t>
            </w:r>
          </w:p>
        </w:tc>
        <w:tc>
          <w:tcPr>
            <w:tcW w:w="1417" w:type="dxa"/>
            <w:tcBorders>
              <w:top w:val="single" w:sz="12" w:space="0" w:color="auto"/>
              <w:left w:val="single" w:sz="4" w:space="0" w:color="auto"/>
              <w:bottom w:val="single" w:sz="12" w:space="0" w:color="auto"/>
              <w:right w:val="single" w:sz="4" w:space="0" w:color="auto"/>
            </w:tcBorders>
          </w:tcPr>
          <w:p w:rsidR="004C6E7E" w:rsidRPr="00813555" w:rsidRDefault="004C6E7E" w:rsidP="00896213">
            <w:pPr>
              <w:jc w:val="right"/>
              <w:rPr>
                <w:sz w:val="20"/>
                <w:szCs w:val="20"/>
                <w:lang w:val="en-GB"/>
              </w:rPr>
            </w:pPr>
            <w:r w:rsidRPr="00813555">
              <w:rPr>
                <w:sz w:val="20"/>
                <w:szCs w:val="20"/>
                <w:lang w:val="en-GB"/>
              </w:rPr>
              <w:t>100</w:t>
            </w:r>
          </w:p>
        </w:tc>
        <w:tc>
          <w:tcPr>
            <w:tcW w:w="567" w:type="dxa"/>
            <w:tcBorders>
              <w:top w:val="single" w:sz="12" w:space="0" w:color="auto"/>
              <w:left w:val="single" w:sz="4" w:space="0" w:color="auto"/>
              <w:bottom w:val="single" w:sz="12" w:space="0" w:color="auto"/>
              <w:right w:val="single" w:sz="4" w:space="0" w:color="auto"/>
            </w:tcBorders>
            <w:vAlign w:val="center"/>
          </w:tcPr>
          <w:p w:rsidR="004C6E7E" w:rsidRPr="00813555" w:rsidRDefault="004C6E7E" w:rsidP="004C6E7E">
            <w:pPr>
              <w:jc w:val="both"/>
              <w:rPr>
                <w:sz w:val="20"/>
                <w:szCs w:val="20"/>
                <w:lang w:val="en-GB"/>
              </w:rPr>
            </w:pPr>
          </w:p>
        </w:tc>
        <w:tc>
          <w:tcPr>
            <w:tcW w:w="567" w:type="dxa"/>
            <w:tcBorders>
              <w:top w:val="single" w:sz="12" w:space="0" w:color="auto"/>
              <w:left w:val="single" w:sz="4" w:space="0" w:color="auto"/>
              <w:bottom w:val="single" w:sz="12" w:space="0" w:color="auto"/>
              <w:right w:val="single" w:sz="4" w:space="0" w:color="auto"/>
            </w:tcBorders>
            <w:vAlign w:val="center"/>
          </w:tcPr>
          <w:p w:rsidR="004C6E7E" w:rsidRPr="00813555" w:rsidRDefault="004C6E7E" w:rsidP="004C6E7E">
            <w:pPr>
              <w:jc w:val="both"/>
              <w:rPr>
                <w:sz w:val="20"/>
                <w:szCs w:val="20"/>
                <w:lang w:val="en-GB"/>
              </w:rPr>
            </w:pPr>
          </w:p>
        </w:tc>
        <w:tc>
          <w:tcPr>
            <w:tcW w:w="567" w:type="dxa"/>
            <w:tcBorders>
              <w:top w:val="single" w:sz="12" w:space="0" w:color="auto"/>
              <w:left w:val="single" w:sz="4" w:space="0" w:color="auto"/>
              <w:bottom w:val="single" w:sz="12" w:space="0" w:color="auto"/>
              <w:right w:val="single" w:sz="4" w:space="0" w:color="auto"/>
            </w:tcBorders>
            <w:vAlign w:val="center"/>
          </w:tcPr>
          <w:p w:rsidR="004C6E7E" w:rsidRPr="00813555" w:rsidRDefault="004C6E7E" w:rsidP="004C6E7E">
            <w:pPr>
              <w:jc w:val="both"/>
              <w:rPr>
                <w:sz w:val="20"/>
                <w:szCs w:val="20"/>
                <w:lang w:val="en-GB"/>
              </w:rPr>
            </w:pPr>
          </w:p>
        </w:tc>
        <w:tc>
          <w:tcPr>
            <w:tcW w:w="709" w:type="dxa"/>
            <w:tcBorders>
              <w:top w:val="single" w:sz="12" w:space="0" w:color="auto"/>
              <w:left w:val="single" w:sz="4" w:space="0" w:color="auto"/>
              <w:bottom w:val="single" w:sz="12" w:space="0" w:color="auto"/>
              <w:right w:val="single" w:sz="4" w:space="0" w:color="auto"/>
            </w:tcBorders>
            <w:vAlign w:val="center"/>
          </w:tcPr>
          <w:p w:rsidR="004C6E7E" w:rsidRPr="00813555" w:rsidRDefault="004C6E7E" w:rsidP="004C6E7E">
            <w:pPr>
              <w:jc w:val="both"/>
              <w:rPr>
                <w:sz w:val="20"/>
                <w:szCs w:val="20"/>
                <w:lang w:val="en-GB"/>
              </w:rPr>
            </w:pPr>
          </w:p>
        </w:tc>
        <w:tc>
          <w:tcPr>
            <w:tcW w:w="567" w:type="dxa"/>
            <w:tcBorders>
              <w:top w:val="single" w:sz="12" w:space="0" w:color="auto"/>
              <w:left w:val="single" w:sz="4" w:space="0" w:color="auto"/>
              <w:bottom w:val="single" w:sz="12" w:space="0" w:color="auto"/>
              <w:right w:val="single" w:sz="4" w:space="0" w:color="auto"/>
            </w:tcBorders>
            <w:vAlign w:val="center"/>
          </w:tcPr>
          <w:p w:rsidR="004C6E7E" w:rsidRPr="00813555" w:rsidRDefault="004C6E7E" w:rsidP="004C6E7E">
            <w:pPr>
              <w:jc w:val="both"/>
              <w:rPr>
                <w:sz w:val="20"/>
                <w:szCs w:val="20"/>
                <w:lang w:val="en-GB"/>
              </w:rPr>
            </w:pPr>
          </w:p>
        </w:tc>
        <w:tc>
          <w:tcPr>
            <w:tcW w:w="1134" w:type="dxa"/>
            <w:tcBorders>
              <w:top w:val="single" w:sz="12" w:space="0" w:color="auto"/>
              <w:left w:val="single" w:sz="4" w:space="0" w:color="auto"/>
              <w:bottom w:val="single" w:sz="12" w:space="0" w:color="auto"/>
              <w:right w:val="single" w:sz="4" w:space="0" w:color="auto"/>
            </w:tcBorders>
          </w:tcPr>
          <w:p w:rsidR="004C6E7E" w:rsidRPr="00813555" w:rsidRDefault="004C6E7E" w:rsidP="004C6E7E">
            <w:pPr>
              <w:jc w:val="both"/>
              <w:rPr>
                <w:sz w:val="20"/>
                <w:szCs w:val="20"/>
                <w:lang w:val="en-GB"/>
              </w:rPr>
            </w:pPr>
          </w:p>
        </w:tc>
        <w:tc>
          <w:tcPr>
            <w:tcW w:w="809" w:type="dxa"/>
            <w:tcBorders>
              <w:top w:val="single" w:sz="12" w:space="0" w:color="auto"/>
              <w:left w:val="single" w:sz="4" w:space="0" w:color="auto"/>
              <w:bottom w:val="single" w:sz="12" w:space="0" w:color="auto"/>
            </w:tcBorders>
          </w:tcPr>
          <w:p w:rsidR="004C6E7E" w:rsidRPr="00813555" w:rsidRDefault="004C6E7E" w:rsidP="004C6E7E">
            <w:pPr>
              <w:jc w:val="both"/>
              <w:rPr>
                <w:sz w:val="20"/>
                <w:szCs w:val="20"/>
                <w:lang w:val="en-GB"/>
              </w:rPr>
            </w:pPr>
          </w:p>
        </w:tc>
      </w:tr>
    </w:tbl>
    <w:p w:rsidR="004C6E7E" w:rsidRDefault="004C6E7E" w:rsidP="00725C5D">
      <w:pPr>
        <w:jc w:val="both"/>
        <w:rPr>
          <w:b/>
          <w:sz w:val="22"/>
          <w:szCs w:val="22"/>
          <w:lang w:val="de-DE"/>
        </w:rPr>
      </w:pPr>
    </w:p>
    <w:p w:rsidR="004C6E7E" w:rsidRPr="00693476" w:rsidRDefault="004C6E7E" w:rsidP="00036004">
      <w:pPr>
        <w:pStyle w:val="Heading3"/>
        <w:numPr>
          <w:ilvl w:val="0"/>
          <w:numId w:val="0"/>
        </w:numPr>
        <w:spacing w:before="0" w:after="0"/>
        <w:rPr>
          <w:rFonts w:ascii="Times New Roman" w:hAnsi="Times New Roman"/>
          <w:b/>
          <w:i w:val="0"/>
          <w:szCs w:val="22"/>
          <w:lang w:val="en-GB"/>
        </w:rPr>
      </w:pPr>
      <w:r>
        <w:rPr>
          <w:rFonts w:ascii="Times New Roman" w:hAnsi="Times New Roman"/>
          <w:b/>
          <w:i w:val="0"/>
          <w:szCs w:val="22"/>
        </w:rPr>
        <w:t>3</w:t>
      </w:r>
      <w:r w:rsidRPr="00693476">
        <w:rPr>
          <w:rFonts w:ascii="Times New Roman" w:hAnsi="Times New Roman"/>
          <w:b/>
          <w:i w:val="0"/>
          <w:szCs w:val="22"/>
        </w:rPr>
        <w:t>.</w:t>
      </w:r>
      <w:r>
        <w:rPr>
          <w:rFonts w:ascii="Times New Roman" w:hAnsi="Times New Roman"/>
          <w:b/>
          <w:i w:val="0"/>
          <w:szCs w:val="22"/>
        </w:rPr>
        <w:t>2</w:t>
      </w:r>
      <w:r w:rsidRPr="00693476">
        <w:rPr>
          <w:rFonts w:ascii="Times New Roman" w:hAnsi="Times New Roman"/>
          <w:b/>
          <w:i w:val="0"/>
          <w:szCs w:val="22"/>
        </w:rPr>
        <w:t xml:space="preserve">. </w:t>
      </w:r>
      <w:r w:rsidR="00503930">
        <w:rPr>
          <w:rFonts w:ascii="Times New Roman" w:hAnsi="Times New Roman"/>
          <w:b/>
          <w:i w:val="0"/>
          <w:szCs w:val="22"/>
        </w:rPr>
        <w:t>Scenario</w:t>
      </w:r>
      <w:r>
        <w:rPr>
          <w:rFonts w:ascii="Times New Roman" w:hAnsi="Times New Roman"/>
          <w:b/>
          <w:i w:val="0"/>
          <w:szCs w:val="22"/>
        </w:rPr>
        <w:t xml:space="preserve"> description</w:t>
      </w:r>
    </w:p>
    <w:p w:rsidR="004C6E7E" w:rsidRDefault="004C6E7E" w:rsidP="00725C5D">
      <w:pPr>
        <w:jc w:val="both"/>
        <w:rPr>
          <w:b/>
          <w:sz w:val="22"/>
          <w:szCs w:val="22"/>
          <w:lang w:val="de-DE"/>
        </w:rPr>
      </w:pPr>
    </w:p>
    <w:p w:rsidR="00F72C5D" w:rsidRPr="00813555" w:rsidRDefault="00F72C5D" w:rsidP="00F72C5D">
      <w:pPr>
        <w:jc w:val="both"/>
        <w:rPr>
          <w:sz w:val="20"/>
          <w:szCs w:val="22"/>
          <w:lang w:val="en-GB"/>
        </w:rPr>
      </w:pPr>
      <w:r w:rsidRPr="00813555">
        <w:rPr>
          <w:sz w:val="20"/>
          <w:szCs w:val="22"/>
          <w:lang w:val="en-GB"/>
        </w:rPr>
        <w:t xml:space="preserve">Scenarios were developed based on the methods of waste treatment with energy recovery. Scenario 1 provides incineration of waste with energy recovery in cogeneration plant and Scenario </w:t>
      </w:r>
      <w:r w:rsidR="00A936B8" w:rsidRPr="00813555">
        <w:rPr>
          <w:sz w:val="20"/>
          <w:szCs w:val="22"/>
          <w:lang w:val="en-GB"/>
        </w:rPr>
        <w:t>2</w:t>
      </w:r>
      <w:r w:rsidRPr="00813555">
        <w:rPr>
          <w:sz w:val="20"/>
          <w:szCs w:val="22"/>
          <w:lang w:val="en-GB"/>
        </w:rPr>
        <w:t xml:space="preserve"> includes energy recovery through anaerobic digestion of </w:t>
      </w:r>
      <w:r w:rsidR="00A936B8" w:rsidRPr="00813555">
        <w:rPr>
          <w:sz w:val="20"/>
          <w:szCs w:val="22"/>
          <w:lang w:val="en-GB"/>
        </w:rPr>
        <w:t xml:space="preserve">organic </w:t>
      </w:r>
      <w:r w:rsidRPr="00813555">
        <w:rPr>
          <w:sz w:val="20"/>
          <w:szCs w:val="22"/>
          <w:lang w:val="en-GB"/>
        </w:rPr>
        <w:t>waste</w:t>
      </w:r>
      <w:r w:rsidR="00A936B8" w:rsidRPr="00813555">
        <w:rPr>
          <w:sz w:val="20"/>
          <w:szCs w:val="22"/>
          <w:lang w:val="en-GB"/>
        </w:rPr>
        <w:t xml:space="preserve"> and </w:t>
      </w:r>
      <w:r w:rsidR="009B5EBE" w:rsidRPr="00813555">
        <w:rPr>
          <w:sz w:val="20"/>
          <w:szCs w:val="22"/>
          <w:lang w:val="en-GB"/>
        </w:rPr>
        <w:t xml:space="preserve">recycling </w:t>
      </w:r>
      <w:r w:rsidR="00A936B8" w:rsidRPr="00813555">
        <w:rPr>
          <w:sz w:val="20"/>
          <w:szCs w:val="22"/>
          <w:lang w:val="en-GB"/>
        </w:rPr>
        <w:t xml:space="preserve">of </w:t>
      </w:r>
      <w:r w:rsidR="009B5EBE" w:rsidRPr="00813555">
        <w:rPr>
          <w:sz w:val="20"/>
          <w:szCs w:val="22"/>
          <w:lang w:val="en-GB"/>
        </w:rPr>
        <w:t xml:space="preserve">recyclable </w:t>
      </w:r>
      <w:r w:rsidR="00A936B8" w:rsidRPr="00813555">
        <w:rPr>
          <w:sz w:val="20"/>
          <w:szCs w:val="22"/>
          <w:lang w:val="en-GB"/>
        </w:rPr>
        <w:t>waste (glass, metal and plastic)</w:t>
      </w:r>
      <w:r w:rsidRPr="00813555">
        <w:rPr>
          <w:sz w:val="20"/>
          <w:szCs w:val="22"/>
          <w:lang w:val="en-GB"/>
        </w:rPr>
        <w:t xml:space="preserve">. Main variation factors (annual distance driven by trucks, fuel efficiency, energy consumption, energy efficiency) of each scenario are given in order to evaluate environmental indicators. </w:t>
      </w:r>
      <w:r w:rsidRPr="00813555">
        <w:rPr>
          <w:sz w:val="20"/>
          <w:szCs w:val="22"/>
        </w:rPr>
        <w:t>The emission factors for developed scenarios were eval</w:t>
      </w:r>
      <w:r w:rsidR="00371BDC">
        <w:rPr>
          <w:sz w:val="20"/>
          <w:szCs w:val="22"/>
        </w:rPr>
        <w:t>uated using LCA-IWM software [22</w:t>
      </w:r>
      <w:r w:rsidRPr="00813555">
        <w:rPr>
          <w:sz w:val="20"/>
          <w:szCs w:val="22"/>
        </w:rPr>
        <w:t>].</w:t>
      </w:r>
      <w:r w:rsidRPr="00813555">
        <w:rPr>
          <w:sz w:val="20"/>
          <w:szCs w:val="22"/>
          <w:lang w:val="en-GB"/>
        </w:rPr>
        <w:t xml:space="preserve"> </w:t>
      </w:r>
    </w:p>
    <w:p w:rsidR="00F72C5D" w:rsidRPr="00813555" w:rsidRDefault="00F72C5D" w:rsidP="00F72C5D">
      <w:pPr>
        <w:jc w:val="both"/>
        <w:rPr>
          <w:sz w:val="20"/>
          <w:szCs w:val="22"/>
          <w:lang w:val="en-GB"/>
        </w:rPr>
      </w:pPr>
      <w:r w:rsidRPr="00813555">
        <w:rPr>
          <w:i/>
          <w:sz w:val="20"/>
          <w:szCs w:val="22"/>
          <w:lang w:val="en-GB"/>
        </w:rPr>
        <w:t xml:space="preserve">Scenario </w:t>
      </w:r>
      <w:r w:rsidR="00A936B8" w:rsidRPr="00813555">
        <w:rPr>
          <w:i/>
          <w:sz w:val="20"/>
          <w:szCs w:val="22"/>
          <w:lang w:val="en-GB"/>
        </w:rPr>
        <w:t>1</w:t>
      </w:r>
      <w:r w:rsidRPr="00813555">
        <w:rPr>
          <w:i/>
          <w:sz w:val="20"/>
          <w:szCs w:val="22"/>
          <w:lang w:val="en-GB"/>
        </w:rPr>
        <w:t xml:space="preserve"> – Incineration:</w:t>
      </w:r>
      <w:r w:rsidRPr="00813555">
        <w:rPr>
          <w:sz w:val="20"/>
          <w:szCs w:val="22"/>
          <w:lang w:val="en-GB"/>
        </w:rPr>
        <w:t xml:space="preserve"> </w:t>
      </w:r>
      <w:r w:rsidRPr="00813555">
        <w:rPr>
          <w:sz w:val="20"/>
          <w:szCs w:val="22"/>
        </w:rPr>
        <w:t xml:space="preserve">Glass and metal in quantities of </w:t>
      </w:r>
      <w:r w:rsidRPr="00813555">
        <w:rPr>
          <w:sz w:val="20"/>
          <w:szCs w:val="22"/>
          <w:lang w:val="en-GB"/>
        </w:rPr>
        <w:t xml:space="preserve">4,580.90 </w:t>
      </w:r>
      <w:r w:rsidRPr="00813555">
        <w:rPr>
          <w:sz w:val="20"/>
          <w:szCs w:val="22"/>
        </w:rPr>
        <w:t>t is recycled and residual waste (</w:t>
      </w:r>
      <w:r w:rsidRPr="00813555">
        <w:rPr>
          <w:sz w:val="20"/>
          <w:szCs w:val="22"/>
          <w:lang w:val="en-GB"/>
        </w:rPr>
        <w:t xml:space="preserve">60,767.10 </w:t>
      </w:r>
      <w:r w:rsidRPr="00813555">
        <w:rPr>
          <w:sz w:val="20"/>
          <w:szCs w:val="22"/>
        </w:rPr>
        <w:t>t) is sent to an incineration plant. Incineration is done by using a system with energy recovery. The generated electricity and heat was calculated on the base of the lower heating value content of the solid waste. The lower heating value of waste is ado</w:t>
      </w:r>
      <w:r w:rsidR="00371BDC">
        <w:rPr>
          <w:sz w:val="20"/>
          <w:szCs w:val="22"/>
        </w:rPr>
        <w:t>pted as 13.08 MJ/kg of waste [22</w:t>
      </w:r>
      <w:r w:rsidRPr="00813555">
        <w:rPr>
          <w:sz w:val="20"/>
          <w:szCs w:val="22"/>
        </w:rPr>
        <w:t>]. The net electrical efficiency of the incinerator considered in this scenario is 27% and the thermal efficiency is 43%. Bottom ashes and flue gas treatment ashes are delivered to the landfill. The quantity of ash produced both (bottom ash and ash resulted from flue gas) was es</w:t>
      </w:r>
      <w:r w:rsidR="00371BDC">
        <w:rPr>
          <w:sz w:val="20"/>
          <w:szCs w:val="22"/>
        </w:rPr>
        <w:t>timated by referring to Ref. [22</w:t>
      </w:r>
      <w:r w:rsidRPr="00813555">
        <w:rPr>
          <w:sz w:val="20"/>
          <w:szCs w:val="22"/>
        </w:rPr>
        <w:t xml:space="preserve">]. </w:t>
      </w:r>
      <w:r w:rsidRPr="00813555">
        <w:rPr>
          <w:sz w:val="20"/>
          <w:szCs w:val="22"/>
          <w:lang w:val="en-GB"/>
        </w:rPr>
        <w:t>Annual distance driven by collection trucks is 100,579 km. Annual distance driven by recycling trucks is 7,570 km. Energy consumed by trucks is 45 dm</w:t>
      </w:r>
      <w:r w:rsidRPr="00813555">
        <w:rPr>
          <w:sz w:val="20"/>
          <w:szCs w:val="22"/>
          <w:vertAlign w:val="superscript"/>
          <w:lang w:val="en-GB"/>
        </w:rPr>
        <w:t>3</w:t>
      </w:r>
      <w:r w:rsidRPr="00813555">
        <w:rPr>
          <w:sz w:val="20"/>
          <w:szCs w:val="22"/>
          <w:lang w:val="en-GB"/>
        </w:rPr>
        <w:t xml:space="preserve"> of diesel per 100 km. Pollutant emitted from the diesel-based collection and recycling trucks and equipment for landfill operations was </w:t>
      </w:r>
      <w:r w:rsidR="000103ED">
        <w:rPr>
          <w:sz w:val="20"/>
          <w:szCs w:val="22"/>
          <w:lang w:val="en-GB"/>
        </w:rPr>
        <w:t>calculated according to Ref. [23</w:t>
      </w:r>
      <w:r w:rsidRPr="00813555">
        <w:rPr>
          <w:sz w:val="20"/>
          <w:szCs w:val="22"/>
          <w:lang w:val="en-GB"/>
        </w:rPr>
        <w:t xml:space="preserve">]. </w:t>
      </w:r>
      <w:r w:rsidRPr="00813555">
        <w:rPr>
          <w:sz w:val="20"/>
          <w:szCs w:val="22"/>
        </w:rPr>
        <w:t>Some emission factors for waste incineration included CO</w:t>
      </w:r>
      <w:r w:rsidRPr="00813555">
        <w:rPr>
          <w:sz w:val="20"/>
          <w:szCs w:val="22"/>
          <w:vertAlign w:val="subscript"/>
        </w:rPr>
        <w:t>2</w:t>
      </w:r>
      <w:r w:rsidRPr="00813555">
        <w:rPr>
          <w:sz w:val="20"/>
          <w:szCs w:val="22"/>
        </w:rPr>
        <w:t xml:space="preserve"> (695.0 kg/t), NO</w:t>
      </w:r>
      <w:r w:rsidRPr="00813555">
        <w:rPr>
          <w:sz w:val="20"/>
          <w:szCs w:val="22"/>
          <w:vertAlign w:val="subscript"/>
        </w:rPr>
        <w:t>x</w:t>
      </w:r>
      <w:r w:rsidRPr="00813555">
        <w:rPr>
          <w:sz w:val="20"/>
          <w:szCs w:val="22"/>
        </w:rPr>
        <w:t xml:space="preserve"> (0.825 kg/t), HCl (0.00052 kg/t), N</w:t>
      </w:r>
      <w:r w:rsidRPr="00813555">
        <w:rPr>
          <w:sz w:val="20"/>
          <w:szCs w:val="22"/>
          <w:vertAlign w:val="subscript"/>
        </w:rPr>
        <w:t>2</w:t>
      </w:r>
      <w:r w:rsidRPr="00813555">
        <w:rPr>
          <w:sz w:val="20"/>
          <w:szCs w:val="22"/>
        </w:rPr>
        <w:t>O (0.0083 kg/t), CO (0.136 kg/t), SO</w:t>
      </w:r>
      <w:r w:rsidRPr="00813555">
        <w:rPr>
          <w:sz w:val="20"/>
          <w:szCs w:val="22"/>
          <w:vertAlign w:val="subscript"/>
        </w:rPr>
        <w:t>2</w:t>
      </w:r>
      <w:r w:rsidRPr="00813555">
        <w:rPr>
          <w:sz w:val="20"/>
          <w:szCs w:val="22"/>
        </w:rPr>
        <w:t xml:space="preserve"> (0.00112</w:t>
      </w:r>
      <w:r w:rsidR="000103ED">
        <w:rPr>
          <w:sz w:val="20"/>
          <w:szCs w:val="22"/>
        </w:rPr>
        <w:t xml:space="preserve"> kg/t), NMVOC (0.00027 kg/t) [23</w:t>
      </w:r>
      <w:r w:rsidRPr="00813555">
        <w:rPr>
          <w:sz w:val="20"/>
          <w:szCs w:val="22"/>
        </w:rPr>
        <w:t xml:space="preserve">]. </w:t>
      </w:r>
    </w:p>
    <w:p w:rsidR="00F72C5D" w:rsidRPr="00813555" w:rsidRDefault="00F72C5D" w:rsidP="00F72C5D">
      <w:pPr>
        <w:jc w:val="both"/>
        <w:rPr>
          <w:sz w:val="20"/>
          <w:szCs w:val="22"/>
          <w:lang w:val="en-GB"/>
        </w:rPr>
      </w:pPr>
      <w:r w:rsidRPr="00813555">
        <w:rPr>
          <w:i/>
          <w:sz w:val="20"/>
          <w:szCs w:val="22"/>
          <w:lang w:val="en-GB"/>
        </w:rPr>
        <w:t xml:space="preserve">Scenario </w:t>
      </w:r>
      <w:r w:rsidR="00A936B8" w:rsidRPr="00813555">
        <w:rPr>
          <w:i/>
          <w:sz w:val="20"/>
          <w:szCs w:val="22"/>
          <w:lang w:val="en-GB"/>
        </w:rPr>
        <w:t>2</w:t>
      </w:r>
      <w:r w:rsidRPr="00813555">
        <w:rPr>
          <w:i/>
          <w:sz w:val="20"/>
          <w:szCs w:val="22"/>
          <w:lang w:val="en-GB"/>
        </w:rPr>
        <w:t xml:space="preserve"> –</w:t>
      </w:r>
      <w:r w:rsidR="005D496F" w:rsidRPr="00813555">
        <w:rPr>
          <w:i/>
          <w:sz w:val="20"/>
          <w:szCs w:val="22"/>
          <w:lang w:val="en-GB"/>
        </w:rPr>
        <w:t xml:space="preserve"> </w:t>
      </w:r>
      <w:r w:rsidRPr="00813555">
        <w:rPr>
          <w:i/>
          <w:sz w:val="20"/>
          <w:szCs w:val="22"/>
          <w:lang w:val="en-GB"/>
        </w:rPr>
        <w:t>Anaerobic Digestion</w:t>
      </w:r>
      <w:r w:rsidR="00A936B8" w:rsidRPr="00813555">
        <w:rPr>
          <w:i/>
          <w:sz w:val="20"/>
          <w:szCs w:val="22"/>
          <w:lang w:val="en-GB"/>
        </w:rPr>
        <w:t xml:space="preserve"> and Recycling</w:t>
      </w:r>
      <w:r w:rsidRPr="00813555">
        <w:rPr>
          <w:sz w:val="20"/>
          <w:szCs w:val="22"/>
          <w:lang w:val="en-GB"/>
        </w:rPr>
        <w:t xml:space="preserve">: </w:t>
      </w:r>
      <w:r w:rsidR="00A936B8" w:rsidRPr="00813555">
        <w:rPr>
          <w:sz w:val="20"/>
          <w:szCs w:val="22"/>
          <w:lang w:val="en-GB"/>
        </w:rPr>
        <w:t xml:space="preserve">Organic waste (29,665.06 t) is sent to anaerobic digestion plant for the purpose of energy generation. </w:t>
      </w:r>
      <w:r w:rsidRPr="00813555">
        <w:rPr>
          <w:sz w:val="20"/>
          <w:szCs w:val="22"/>
          <w:lang w:val="en-GB"/>
        </w:rPr>
        <w:t xml:space="preserve">Amount of 22,277.14 t of </w:t>
      </w:r>
      <w:r w:rsidR="000103ED">
        <w:rPr>
          <w:sz w:val="20"/>
          <w:szCs w:val="22"/>
          <w:lang w:val="en-GB"/>
        </w:rPr>
        <w:t xml:space="preserve">recyclable </w:t>
      </w:r>
      <w:r w:rsidRPr="00813555">
        <w:rPr>
          <w:sz w:val="20"/>
          <w:szCs w:val="22"/>
          <w:lang w:val="en-GB"/>
        </w:rPr>
        <w:t>waste (glass, metal and plastic) is recycled. Other waste of 13,415.84 t is landfilled. In this scenario anaerobic mechanical-biol</w:t>
      </w:r>
      <w:r w:rsidR="00371BDC">
        <w:rPr>
          <w:sz w:val="20"/>
          <w:szCs w:val="22"/>
          <w:lang w:val="en-GB"/>
        </w:rPr>
        <w:t>ogical process is considered [22</w:t>
      </w:r>
      <w:r w:rsidRPr="00813555">
        <w:rPr>
          <w:sz w:val="20"/>
          <w:szCs w:val="22"/>
          <w:lang w:val="en-GB"/>
        </w:rPr>
        <w:t>]. Three waste streams are assumed to constitute the recycling streams at MBT: glass, mixed plastics, and metals. The metals’ content has been assumed to consist of 30% non-ferrous and 70% ferrous metals. The reject rate for all recyclable fractions is assumed to be 10%. In this scenario, the amount of biogas produced is calculated to be 136 Nm</w:t>
      </w:r>
      <w:r w:rsidRPr="00813555">
        <w:rPr>
          <w:sz w:val="20"/>
          <w:szCs w:val="22"/>
          <w:vertAlign w:val="superscript"/>
          <w:lang w:val="en-GB"/>
        </w:rPr>
        <w:t>3</w:t>
      </w:r>
      <w:r w:rsidR="00371BDC">
        <w:rPr>
          <w:sz w:val="20"/>
          <w:szCs w:val="22"/>
          <w:lang w:val="en-GB"/>
        </w:rPr>
        <w:t>/t of input waste [22</w:t>
      </w:r>
      <w:r w:rsidRPr="00813555">
        <w:rPr>
          <w:sz w:val="20"/>
          <w:szCs w:val="22"/>
          <w:lang w:val="en-GB"/>
        </w:rPr>
        <w:t>]. Composition of biogas produced: 61% CH</w:t>
      </w:r>
      <w:r w:rsidRPr="00813555">
        <w:rPr>
          <w:sz w:val="20"/>
          <w:szCs w:val="22"/>
          <w:vertAlign w:val="subscript"/>
          <w:lang w:val="en-GB"/>
        </w:rPr>
        <w:t>4</w:t>
      </w:r>
      <w:r w:rsidRPr="00813555">
        <w:rPr>
          <w:sz w:val="20"/>
          <w:szCs w:val="22"/>
          <w:lang w:val="en-GB"/>
        </w:rPr>
        <w:t>, 39% CO</w:t>
      </w:r>
      <w:r w:rsidRPr="00813555">
        <w:rPr>
          <w:sz w:val="20"/>
          <w:szCs w:val="22"/>
          <w:vertAlign w:val="subscript"/>
          <w:lang w:val="en-GB"/>
        </w:rPr>
        <w:t>2</w:t>
      </w:r>
      <w:r w:rsidRPr="00813555">
        <w:rPr>
          <w:sz w:val="20"/>
          <w:szCs w:val="22"/>
          <w:lang w:val="en-GB"/>
        </w:rPr>
        <w:t>, and the net calorific value of biogas is 22.6 MJ/Nm</w:t>
      </w:r>
      <w:r w:rsidRPr="00813555">
        <w:rPr>
          <w:sz w:val="20"/>
          <w:szCs w:val="22"/>
          <w:vertAlign w:val="superscript"/>
          <w:lang w:val="en-GB"/>
        </w:rPr>
        <w:t>3</w:t>
      </w:r>
      <w:r w:rsidRPr="00813555">
        <w:rPr>
          <w:sz w:val="20"/>
          <w:szCs w:val="22"/>
          <w:lang w:val="en-GB"/>
        </w:rPr>
        <w:t>. It is assumed that biogas loss due to leakage in operations is 10%. Biogas produced in the AD process is combusted in a CHP unit to generate energy. The electrical efficiency of the CHP unit is assumed to be 35% and the thermal efficiency is 42%. The residue of the anaerobic digestion that remains inside the reactor can be treated and used as fertilizer. The amount of compost produced is 430 kg/t. Emission to air by soil application include NH</w:t>
      </w:r>
      <w:r w:rsidRPr="00813555">
        <w:rPr>
          <w:sz w:val="20"/>
          <w:szCs w:val="22"/>
          <w:vertAlign w:val="subscript"/>
          <w:lang w:val="en-GB"/>
        </w:rPr>
        <w:t>3</w:t>
      </w:r>
      <w:r w:rsidRPr="00813555">
        <w:rPr>
          <w:sz w:val="20"/>
          <w:szCs w:val="22"/>
          <w:lang w:val="en-GB"/>
        </w:rPr>
        <w:t xml:space="preserve"> (0.45 kg/t) and NO</w:t>
      </w:r>
      <w:r w:rsidRPr="00813555">
        <w:rPr>
          <w:sz w:val="20"/>
          <w:szCs w:val="22"/>
          <w:vertAlign w:val="subscript"/>
          <w:lang w:val="en-GB"/>
        </w:rPr>
        <w:t>x</w:t>
      </w:r>
      <w:r w:rsidRPr="00813555">
        <w:rPr>
          <w:sz w:val="20"/>
          <w:szCs w:val="22"/>
          <w:lang w:val="en-GB"/>
        </w:rPr>
        <w:t xml:space="preserve"> (0.06 kg/t). Annual distance driven by co-mingled trucks is 81,437 km. Annual distance driven by recycling trucks is 26,713 km. Energy consumed by trucks is 45 dm</w:t>
      </w:r>
      <w:r w:rsidRPr="00813555">
        <w:rPr>
          <w:sz w:val="20"/>
          <w:szCs w:val="22"/>
          <w:vertAlign w:val="superscript"/>
          <w:lang w:val="en-GB"/>
        </w:rPr>
        <w:t>3</w:t>
      </w:r>
      <w:r w:rsidRPr="00813555">
        <w:rPr>
          <w:sz w:val="20"/>
          <w:szCs w:val="22"/>
          <w:lang w:val="en-GB"/>
        </w:rPr>
        <w:t xml:space="preserve"> of diesel per 100 km. Pollutant emitted from the diesel-based collection and recycling trucks and equipment for landfill operations was </w:t>
      </w:r>
      <w:r w:rsidR="00371BDC">
        <w:rPr>
          <w:sz w:val="20"/>
          <w:szCs w:val="22"/>
          <w:lang w:val="en-GB"/>
        </w:rPr>
        <w:t>calculated according to Ref. [23</w:t>
      </w:r>
      <w:r w:rsidRPr="00813555">
        <w:rPr>
          <w:sz w:val="20"/>
          <w:szCs w:val="22"/>
          <w:lang w:val="en-GB"/>
        </w:rPr>
        <w:t>]. The emission factors for anaerobic MBT process include CO</w:t>
      </w:r>
      <w:r w:rsidRPr="00813555">
        <w:rPr>
          <w:sz w:val="20"/>
          <w:szCs w:val="22"/>
          <w:vertAlign w:val="subscript"/>
          <w:lang w:val="en-GB"/>
        </w:rPr>
        <w:t>2</w:t>
      </w:r>
      <w:r w:rsidRPr="00813555">
        <w:rPr>
          <w:sz w:val="20"/>
          <w:szCs w:val="22"/>
          <w:lang w:val="en-GB"/>
        </w:rPr>
        <w:t xml:space="preserve"> (6.61 kg/t), NO</w:t>
      </w:r>
      <w:r w:rsidRPr="00813555">
        <w:rPr>
          <w:sz w:val="20"/>
          <w:szCs w:val="22"/>
          <w:vertAlign w:val="subscript"/>
          <w:lang w:val="en-GB"/>
        </w:rPr>
        <w:t>x</w:t>
      </w:r>
      <w:r w:rsidRPr="00813555">
        <w:rPr>
          <w:sz w:val="20"/>
          <w:szCs w:val="22"/>
          <w:lang w:val="en-GB"/>
        </w:rPr>
        <w:t xml:space="preserve"> (0.606 kg/t), CH</w:t>
      </w:r>
      <w:r w:rsidRPr="00813555">
        <w:rPr>
          <w:sz w:val="20"/>
          <w:szCs w:val="22"/>
          <w:vertAlign w:val="subscript"/>
          <w:lang w:val="en-GB"/>
        </w:rPr>
        <w:t>4</w:t>
      </w:r>
      <w:r w:rsidRPr="00813555">
        <w:rPr>
          <w:sz w:val="20"/>
          <w:szCs w:val="22"/>
          <w:lang w:val="en-GB"/>
        </w:rPr>
        <w:t xml:space="preserve"> (0.958 kg/t), N</w:t>
      </w:r>
      <w:r w:rsidRPr="00813555">
        <w:rPr>
          <w:sz w:val="20"/>
          <w:szCs w:val="22"/>
          <w:vertAlign w:val="subscript"/>
          <w:lang w:val="en-GB"/>
        </w:rPr>
        <w:t>2</w:t>
      </w:r>
      <w:r w:rsidRPr="00813555">
        <w:rPr>
          <w:sz w:val="20"/>
          <w:szCs w:val="22"/>
          <w:lang w:val="en-GB"/>
        </w:rPr>
        <w:t>O (0.0907 kg/t), SO</w:t>
      </w:r>
      <w:r w:rsidRPr="00813555">
        <w:rPr>
          <w:sz w:val="20"/>
          <w:szCs w:val="22"/>
          <w:vertAlign w:val="subscript"/>
          <w:lang w:val="en-GB"/>
        </w:rPr>
        <w:t>2</w:t>
      </w:r>
      <w:r w:rsidRPr="00813555">
        <w:rPr>
          <w:sz w:val="20"/>
          <w:szCs w:val="22"/>
          <w:lang w:val="en-GB"/>
        </w:rPr>
        <w:t xml:space="preserve"> (0.0859 kg/t), CO</w:t>
      </w:r>
      <w:r w:rsidRPr="00813555">
        <w:rPr>
          <w:sz w:val="20"/>
          <w:szCs w:val="22"/>
          <w:vertAlign w:val="subscript"/>
          <w:lang w:val="en-GB"/>
        </w:rPr>
        <w:t xml:space="preserve"> </w:t>
      </w:r>
      <w:r w:rsidRPr="00813555">
        <w:rPr>
          <w:sz w:val="20"/>
          <w:szCs w:val="22"/>
          <w:lang w:val="en-GB"/>
        </w:rPr>
        <w:t>(0.858 kg/t), NH</w:t>
      </w:r>
      <w:r w:rsidRPr="00813555">
        <w:rPr>
          <w:sz w:val="20"/>
          <w:szCs w:val="22"/>
          <w:vertAlign w:val="subscript"/>
          <w:lang w:val="en-GB"/>
        </w:rPr>
        <w:t>3</w:t>
      </w:r>
      <w:r w:rsidRPr="00813555">
        <w:rPr>
          <w:sz w:val="20"/>
          <w:szCs w:val="22"/>
          <w:lang w:val="en-GB"/>
        </w:rPr>
        <w:t xml:space="preserve"> (1.26 kg/t</w:t>
      </w:r>
      <w:r w:rsidR="00371BDC">
        <w:rPr>
          <w:sz w:val="20"/>
          <w:szCs w:val="22"/>
          <w:lang w:val="en-GB"/>
        </w:rPr>
        <w:t>) [23</w:t>
      </w:r>
      <w:r w:rsidRPr="00813555">
        <w:rPr>
          <w:sz w:val="20"/>
          <w:szCs w:val="22"/>
          <w:lang w:val="en-GB"/>
        </w:rPr>
        <w:t xml:space="preserve">]. </w:t>
      </w:r>
    </w:p>
    <w:p w:rsidR="004C6E7E" w:rsidRPr="006D08EE" w:rsidRDefault="004C6E7E" w:rsidP="00725C5D">
      <w:pPr>
        <w:jc w:val="both"/>
        <w:rPr>
          <w:sz w:val="22"/>
          <w:szCs w:val="22"/>
        </w:rPr>
      </w:pPr>
    </w:p>
    <w:p w:rsidR="00F72C5D" w:rsidRPr="00F72C5D" w:rsidRDefault="00F72C5D" w:rsidP="00F72C5D">
      <w:pPr>
        <w:jc w:val="both"/>
        <w:rPr>
          <w:b/>
          <w:bCs/>
          <w:sz w:val="22"/>
          <w:szCs w:val="22"/>
          <w:lang w:val="en-GB"/>
        </w:rPr>
      </w:pPr>
      <w:r w:rsidRPr="00F72C5D">
        <w:rPr>
          <w:b/>
          <w:bCs/>
          <w:sz w:val="22"/>
          <w:szCs w:val="22"/>
          <w:lang w:val="en-GB"/>
        </w:rPr>
        <w:t>3.3. Life cycle impact assessment</w:t>
      </w:r>
    </w:p>
    <w:p w:rsidR="00F72C5D" w:rsidRDefault="00F72C5D" w:rsidP="00F72C5D">
      <w:pPr>
        <w:jc w:val="both"/>
        <w:rPr>
          <w:sz w:val="22"/>
          <w:szCs w:val="22"/>
        </w:rPr>
      </w:pPr>
    </w:p>
    <w:p w:rsidR="00F72C5D" w:rsidRPr="00813555" w:rsidRDefault="00F72C5D" w:rsidP="00F72C5D">
      <w:pPr>
        <w:jc w:val="both"/>
        <w:rPr>
          <w:sz w:val="20"/>
          <w:szCs w:val="22"/>
        </w:rPr>
      </w:pPr>
      <w:r w:rsidRPr="00813555">
        <w:rPr>
          <w:sz w:val="20"/>
          <w:szCs w:val="22"/>
        </w:rPr>
        <w:t>The life cycle impact assessment was</w:t>
      </w:r>
      <w:r w:rsidR="00371BDC">
        <w:rPr>
          <w:sz w:val="20"/>
          <w:szCs w:val="22"/>
        </w:rPr>
        <w:t xml:space="preserve"> done using LCA-IMW software [22</w:t>
      </w:r>
      <w:r w:rsidRPr="00813555">
        <w:rPr>
          <w:sz w:val="20"/>
          <w:szCs w:val="22"/>
        </w:rPr>
        <w:t>]. The methodology within the LCA-IWM project provides means for assessment of alternative municipal solid waste management system. The borders of assessment are extended to include the environmental, social and economic impacts occurring at all stages of a waste management system, i.e.: temporary storage of waste, collection, transport, waste treatment and final disposal. The assessment starts at the moment waste is put in a temporary storage system. The functional unit of the proposed assessment method is the amount of waste generated in a city and entering the waste management system within one year. In the current study, the functional unit is the total amount of municipal solid waste generated in city of Niš</w:t>
      </w:r>
      <w:r w:rsidRPr="00813555">
        <w:rPr>
          <w:sz w:val="20"/>
          <w:szCs w:val="22"/>
          <w:lang w:val="en-GB"/>
        </w:rPr>
        <w:t xml:space="preserve"> </w:t>
      </w:r>
      <w:r w:rsidRPr="00813555">
        <w:rPr>
          <w:sz w:val="20"/>
          <w:szCs w:val="22"/>
        </w:rPr>
        <w:t>in one year of legacy period.</w:t>
      </w:r>
      <w:r w:rsidRPr="00813555">
        <w:rPr>
          <w:sz w:val="20"/>
          <w:szCs w:val="22"/>
          <w:lang w:val="en-GB"/>
        </w:rPr>
        <w:t xml:space="preserve"> </w:t>
      </w:r>
      <w:r w:rsidRPr="00813555">
        <w:rPr>
          <w:sz w:val="20"/>
          <w:szCs w:val="22"/>
        </w:rPr>
        <w:t>The total annual quantity of generated waste for each of the developed scenarios is 65,348 t.</w:t>
      </w:r>
    </w:p>
    <w:p w:rsidR="00F72C5D" w:rsidRPr="00813555" w:rsidRDefault="00F72C5D" w:rsidP="00F72C5D">
      <w:pPr>
        <w:jc w:val="both"/>
        <w:rPr>
          <w:sz w:val="20"/>
          <w:szCs w:val="22"/>
        </w:rPr>
      </w:pPr>
      <w:r w:rsidRPr="00813555">
        <w:rPr>
          <w:sz w:val="20"/>
          <w:szCs w:val="22"/>
        </w:rPr>
        <w:t xml:space="preserve">Result of inventory data was classified to the six impact categories: </w:t>
      </w:r>
    </w:p>
    <w:p w:rsidR="00F72C5D" w:rsidRPr="00813555" w:rsidRDefault="00F72C5D" w:rsidP="00F72C5D">
      <w:pPr>
        <w:numPr>
          <w:ilvl w:val="0"/>
          <w:numId w:val="3"/>
        </w:numPr>
        <w:jc w:val="both"/>
        <w:rPr>
          <w:sz w:val="20"/>
          <w:szCs w:val="22"/>
          <w:lang w:val="en-GB"/>
        </w:rPr>
      </w:pPr>
      <w:r w:rsidRPr="00813555">
        <w:rPr>
          <w:sz w:val="20"/>
          <w:szCs w:val="22"/>
          <w:lang w:val="en-GB"/>
        </w:rPr>
        <w:t xml:space="preserve">Abiotic Depletion Potential (ADP) – </w:t>
      </w:r>
      <w:r w:rsidRPr="00813555">
        <w:rPr>
          <w:sz w:val="20"/>
          <w:szCs w:val="22"/>
        </w:rPr>
        <w:t>accounts for positive aspects of the recovery of waste, both in form of recycling as well as energy recovery. The resources which are saved due to recycling and recovery replace abiotic resources which would have to be otherwise extracted.</w:t>
      </w:r>
    </w:p>
    <w:p w:rsidR="00F72C5D" w:rsidRPr="00813555" w:rsidRDefault="00F72C5D" w:rsidP="00F72C5D">
      <w:pPr>
        <w:numPr>
          <w:ilvl w:val="0"/>
          <w:numId w:val="3"/>
        </w:numPr>
        <w:jc w:val="both"/>
        <w:rPr>
          <w:sz w:val="20"/>
          <w:szCs w:val="22"/>
        </w:rPr>
      </w:pPr>
      <w:r w:rsidRPr="00813555">
        <w:rPr>
          <w:sz w:val="20"/>
          <w:szCs w:val="22"/>
          <w:lang w:val="en-GB"/>
        </w:rPr>
        <w:t xml:space="preserve">Global Warming Potential (GWP100) – accounts for greenhouse gases over 100 years. </w:t>
      </w:r>
      <w:r w:rsidRPr="00813555">
        <w:rPr>
          <w:sz w:val="20"/>
          <w:szCs w:val="22"/>
        </w:rPr>
        <w:t>Typical emissions for waste management which contribute to global warming potential include fossil CO</w:t>
      </w:r>
      <w:r w:rsidRPr="00813555">
        <w:rPr>
          <w:sz w:val="20"/>
          <w:szCs w:val="22"/>
          <w:vertAlign w:val="subscript"/>
        </w:rPr>
        <w:t>2</w:t>
      </w:r>
      <w:r w:rsidRPr="00813555">
        <w:rPr>
          <w:sz w:val="20"/>
          <w:szCs w:val="22"/>
        </w:rPr>
        <w:t>, N</w:t>
      </w:r>
      <w:r w:rsidRPr="00813555">
        <w:rPr>
          <w:sz w:val="20"/>
          <w:szCs w:val="22"/>
          <w:vertAlign w:val="subscript"/>
        </w:rPr>
        <w:t>2</w:t>
      </w:r>
      <w:r w:rsidRPr="00813555">
        <w:rPr>
          <w:sz w:val="20"/>
          <w:szCs w:val="22"/>
        </w:rPr>
        <w:t>O and CH</w:t>
      </w:r>
      <w:r w:rsidRPr="00813555">
        <w:rPr>
          <w:sz w:val="20"/>
          <w:szCs w:val="22"/>
          <w:vertAlign w:val="subscript"/>
        </w:rPr>
        <w:t>4</w:t>
      </w:r>
      <w:r w:rsidRPr="00813555">
        <w:rPr>
          <w:sz w:val="20"/>
          <w:szCs w:val="22"/>
          <w:lang w:val="en-GB"/>
        </w:rPr>
        <w:t xml:space="preserve">. </w:t>
      </w:r>
    </w:p>
    <w:p w:rsidR="00F72C5D" w:rsidRPr="00813555" w:rsidRDefault="00F72C5D" w:rsidP="00F72C5D">
      <w:pPr>
        <w:numPr>
          <w:ilvl w:val="0"/>
          <w:numId w:val="3"/>
        </w:numPr>
        <w:jc w:val="both"/>
        <w:rPr>
          <w:sz w:val="20"/>
          <w:szCs w:val="22"/>
        </w:rPr>
      </w:pPr>
      <w:r w:rsidRPr="00813555">
        <w:rPr>
          <w:sz w:val="20"/>
          <w:szCs w:val="22"/>
          <w:lang w:val="en-GB"/>
        </w:rPr>
        <w:t xml:space="preserve">Human Toxicity Potential (HTP) – </w:t>
      </w:r>
      <w:r w:rsidRPr="00813555">
        <w:rPr>
          <w:sz w:val="20"/>
          <w:szCs w:val="22"/>
        </w:rPr>
        <w:t>concerned with negative effects on human health of toxic substances emitted to the environment. Emissions from waste management with the most significant impact within this category include: heavy metals (Cr(VI), Hg, Ni, Cu), dioxins, Ba and Sb</w:t>
      </w:r>
      <w:r w:rsidRPr="00813555">
        <w:rPr>
          <w:sz w:val="20"/>
          <w:szCs w:val="22"/>
          <w:lang w:val="en-GB"/>
        </w:rPr>
        <w:t xml:space="preserve">. </w:t>
      </w:r>
    </w:p>
    <w:p w:rsidR="00F72C5D" w:rsidRPr="00813555" w:rsidRDefault="00F72C5D" w:rsidP="00F72C5D">
      <w:pPr>
        <w:numPr>
          <w:ilvl w:val="0"/>
          <w:numId w:val="3"/>
        </w:numPr>
        <w:jc w:val="both"/>
        <w:rPr>
          <w:sz w:val="20"/>
          <w:szCs w:val="22"/>
        </w:rPr>
      </w:pPr>
      <w:r w:rsidRPr="00813555">
        <w:rPr>
          <w:sz w:val="20"/>
          <w:szCs w:val="22"/>
          <w:lang w:val="en-GB"/>
        </w:rPr>
        <w:t xml:space="preserve">Photochemical Oxidation Potential (POCP) – </w:t>
      </w:r>
      <w:r w:rsidRPr="00813555">
        <w:rPr>
          <w:sz w:val="20"/>
          <w:szCs w:val="22"/>
        </w:rPr>
        <w:t>relevant emissions for this impact category within waste management are: NMVOC and CH</w:t>
      </w:r>
      <w:r w:rsidRPr="00813555">
        <w:rPr>
          <w:sz w:val="20"/>
          <w:szCs w:val="22"/>
          <w:vertAlign w:val="subscript"/>
        </w:rPr>
        <w:t>4</w:t>
      </w:r>
      <w:r w:rsidRPr="00813555">
        <w:rPr>
          <w:sz w:val="20"/>
          <w:szCs w:val="22"/>
        </w:rPr>
        <w:t xml:space="preserve"> from landfills and emissions of NO</w:t>
      </w:r>
      <w:r w:rsidRPr="00813555">
        <w:rPr>
          <w:sz w:val="20"/>
          <w:szCs w:val="22"/>
          <w:vertAlign w:val="subscript"/>
        </w:rPr>
        <w:t>x</w:t>
      </w:r>
      <w:r w:rsidRPr="00813555">
        <w:rPr>
          <w:sz w:val="20"/>
          <w:szCs w:val="22"/>
        </w:rPr>
        <w:t xml:space="preserve"> and CO from thermal processes</w:t>
      </w:r>
      <w:r w:rsidRPr="00813555">
        <w:rPr>
          <w:sz w:val="20"/>
          <w:szCs w:val="22"/>
          <w:lang w:val="en-GB"/>
        </w:rPr>
        <w:t xml:space="preserve">, </w:t>
      </w:r>
    </w:p>
    <w:p w:rsidR="00F72C5D" w:rsidRPr="00813555" w:rsidRDefault="00F72C5D" w:rsidP="00F72C5D">
      <w:pPr>
        <w:numPr>
          <w:ilvl w:val="0"/>
          <w:numId w:val="3"/>
        </w:numPr>
        <w:jc w:val="both"/>
        <w:rPr>
          <w:sz w:val="20"/>
          <w:szCs w:val="22"/>
        </w:rPr>
      </w:pPr>
      <w:r w:rsidRPr="00813555">
        <w:rPr>
          <w:sz w:val="20"/>
          <w:szCs w:val="22"/>
          <w:lang w:val="en-GB"/>
        </w:rPr>
        <w:t xml:space="preserve">Acidification Potential (AP) – </w:t>
      </w:r>
      <w:r w:rsidRPr="00813555">
        <w:rPr>
          <w:sz w:val="20"/>
          <w:szCs w:val="22"/>
        </w:rPr>
        <w:t>for waste management the major impacts within this category arise from NO</w:t>
      </w:r>
      <w:r w:rsidRPr="00813555">
        <w:rPr>
          <w:sz w:val="20"/>
          <w:szCs w:val="22"/>
          <w:vertAlign w:val="subscript"/>
        </w:rPr>
        <w:t>x</w:t>
      </w:r>
      <w:r w:rsidRPr="00813555">
        <w:rPr>
          <w:sz w:val="20"/>
          <w:szCs w:val="22"/>
        </w:rPr>
        <w:t xml:space="preserve"> emissions from thermal processes, NH</w:t>
      </w:r>
      <w:r w:rsidRPr="00813555">
        <w:rPr>
          <w:sz w:val="20"/>
          <w:szCs w:val="22"/>
          <w:vertAlign w:val="subscript"/>
        </w:rPr>
        <w:t>3</w:t>
      </w:r>
      <w:r w:rsidRPr="00813555">
        <w:rPr>
          <w:sz w:val="20"/>
          <w:szCs w:val="22"/>
        </w:rPr>
        <w:t xml:space="preserve"> from biological processes and SO</w:t>
      </w:r>
      <w:r w:rsidRPr="00813555">
        <w:rPr>
          <w:sz w:val="20"/>
          <w:szCs w:val="22"/>
          <w:vertAlign w:val="subscript"/>
        </w:rPr>
        <w:t>2</w:t>
      </w:r>
      <w:r w:rsidRPr="00813555">
        <w:rPr>
          <w:sz w:val="20"/>
          <w:szCs w:val="22"/>
        </w:rPr>
        <w:t xml:space="preserve"> emissions from electricity production</w:t>
      </w:r>
      <w:r w:rsidRPr="00813555">
        <w:rPr>
          <w:sz w:val="20"/>
          <w:szCs w:val="22"/>
          <w:lang w:val="en-GB"/>
        </w:rPr>
        <w:t xml:space="preserve">. </w:t>
      </w:r>
    </w:p>
    <w:p w:rsidR="00F72C5D" w:rsidRPr="00813555" w:rsidRDefault="00F72C5D" w:rsidP="00F72C5D">
      <w:pPr>
        <w:numPr>
          <w:ilvl w:val="0"/>
          <w:numId w:val="3"/>
        </w:numPr>
        <w:jc w:val="both"/>
        <w:rPr>
          <w:sz w:val="20"/>
          <w:szCs w:val="22"/>
        </w:rPr>
      </w:pPr>
      <w:r w:rsidRPr="00813555">
        <w:rPr>
          <w:sz w:val="20"/>
          <w:szCs w:val="22"/>
          <w:lang w:val="en-GB"/>
        </w:rPr>
        <w:t xml:space="preserve">Eutrophication Potential (EP) – accounts for nutrients causing an increase in the rate of supply of organic matter in an ecosystem. </w:t>
      </w:r>
      <w:r w:rsidRPr="00813555">
        <w:rPr>
          <w:sz w:val="20"/>
          <w:szCs w:val="22"/>
        </w:rPr>
        <w:t>Referring to the waste management the EP is attributed to atmospheric emissions of NO</w:t>
      </w:r>
      <w:r w:rsidRPr="00813555">
        <w:rPr>
          <w:sz w:val="20"/>
          <w:szCs w:val="22"/>
          <w:vertAlign w:val="subscript"/>
        </w:rPr>
        <w:t>x</w:t>
      </w:r>
      <w:r w:rsidRPr="00813555">
        <w:rPr>
          <w:sz w:val="20"/>
          <w:szCs w:val="22"/>
        </w:rPr>
        <w:t xml:space="preserve"> and NH</w:t>
      </w:r>
      <w:r w:rsidRPr="00813555">
        <w:rPr>
          <w:sz w:val="20"/>
          <w:szCs w:val="22"/>
          <w:vertAlign w:val="subscript"/>
        </w:rPr>
        <w:t>3</w:t>
      </w:r>
      <w:r w:rsidRPr="00813555">
        <w:rPr>
          <w:sz w:val="20"/>
          <w:szCs w:val="22"/>
        </w:rPr>
        <w:t>, P and N to water from biological processes.</w:t>
      </w:r>
    </w:p>
    <w:p w:rsidR="00036004" w:rsidRPr="006D08EE" w:rsidRDefault="00036004" w:rsidP="00F72C5D">
      <w:pPr>
        <w:jc w:val="both"/>
        <w:rPr>
          <w:sz w:val="22"/>
          <w:szCs w:val="22"/>
        </w:rPr>
      </w:pPr>
    </w:p>
    <w:p w:rsidR="00036004" w:rsidRPr="006D08EE" w:rsidRDefault="00036004" w:rsidP="00F72C5D">
      <w:pPr>
        <w:jc w:val="both"/>
        <w:rPr>
          <w:sz w:val="22"/>
          <w:szCs w:val="22"/>
        </w:rPr>
      </w:pPr>
    </w:p>
    <w:p w:rsidR="00F72C5D" w:rsidRPr="006D08EE" w:rsidRDefault="00F72C5D" w:rsidP="00F72C5D">
      <w:pPr>
        <w:jc w:val="both"/>
        <w:rPr>
          <w:sz w:val="22"/>
          <w:szCs w:val="22"/>
        </w:rPr>
      </w:pPr>
      <w:r w:rsidRPr="006D08EE">
        <w:rPr>
          <w:b/>
          <w:sz w:val="22"/>
          <w:szCs w:val="22"/>
        </w:rPr>
        <w:t>4. RESULTS AND DISCUSSION</w:t>
      </w:r>
    </w:p>
    <w:p w:rsidR="004C6E7E" w:rsidRPr="006D08EE" w:rsidRDefault="004C6E7E" w:rsidP="00725C5D">
      <w:pPr>
        <w:jc w:val="both"/>
        <w:rPr>
          <w:sz w:val="22"/>
          <w:szCs w:val="22"/>
        </w:rPr>
      </w:pPr>
    </w:p>
    <w:p w:rsidR="00F72C5D" w:rsidRPr="00B76DCD" w:rsidRDefault="00F72C5D" w:rsidP="00F72C5D">
      <w:pPr>
        <w:jc w:val="both"/>
        <w:rPr>
          <w:color w:val="FF0000"/>
          <w:sz w:val="20"/>
          <w:szCs w:val="20"/>
        </w:rPr>
      </w:pPr>
      <w:r w:rsidRPr="00503930">
        <w:rPr>
          <w:sz w:val="20"/>
          <w:szCs w:val="20"/>
        </w:rPr>
        <w:t>Based on a developed scenario</w:t>
      </w:r>
      <w:r w:rsidR="00021BF5">
        <w:rPr>
          <w:sz w:val="20"/>
          <w:szCs w:val="20"/>
        </w:rPr>
        <w:t>s</w:t>
      </w:r>
      <w:r w:rsidRPr="00503930">
        <w:rPr>
          <w:sz w:val="20"/>
          <w:szCs w:val="20"/>
        </w:rPr>
        <w:t xml:space="preserve"> and defined amount and waste streams, the environmental burdens for </w:t>
      </w:r>
      <w:r w:rsidR="00B76DCD">
        <w:rPr>
          <w:sz w:val="20"/>
          <w:szCs w:val="20"/>
        </w:rPr>
        <w:t>both</w:t>
      </w:r>
      <w:r w:rsidRPr="00503930">
        <w:rPr>
          <w:sz w:val="20"/>
          <w:szCs w:val="20"/>
        </w:rPr>
        <w:t xml:space="preserve"> </w:t>
      </w:r>
      <w:r w:rsidR="00B76DCD" w:rsidRPr="00503930">
        <w:rPr>
          <w:sz w:val="20"/>
          <w:szCs w:val="20"/>
        </w:rPr>
        <w:t>scenarios</w:t>
      </w:r>
      <w:r w:rsidRPr="00503930">
        <w:rPr>
          <w:sz w:val="20"/>
          <w:szCs w:val="20"/>
        </w:rPr>
        <w:t xml:space="preserve"> were calcula</w:t>
      </w:r>
      <w:r w:rsidR="00371BDC">
        <w:rPr>
          <w:sz w:val="20"/>
          <w:szCs w:val="20"/>
        </w:rPr>
        <w:t>ted and presented in Table 2 [22</w:t>
      </w:r>
      <w:r w:rsidRPr="00503930">
        <w:rPr>
          <w:sz w:val="20"/>
          <w:szCs w:val="20"/>
        </w:rPr>
        <w:t>].</w:t>
      </w:r>
      <w:r w:rsidRPr="009B5EBE">
        <w:rPr>
          <w:color w:val="FF0000"/>
          <w:sz w:val="20"/>
          <w:szCs w:val="20"/>
        </w:rPr>
        <w:t xml:space="preserve"> </w:t>
      </w:r>
      <w:r w:rsidRPr="00503930">
        <w:rPr>
          <w:sz w:val="20"/>
          <w:szCs w:val="20"/>
        </w:rPr>
        <w:t>According to the environmental burdens for each scenario it can be concluded that CO</w:t>
      </w:r>
      <w:r w:rsidRPr="00503930">
        <w:rPr>
          <w:sz w:val="20"/>
          <w:szCs w:val="20"/>
          <w:vertAlign w:val="subscript"/>
        </w:rPr>
        <w:t>2</w:t>
      </w:r>
      <w:r w:rsidRPr="00503930">
        <w:rPr>
          <w:sz w:val="20"/>
          <w:szCs w:val="20"/>
        </w:rPr>
        <w:t xml:space="preserve"> is discerned as the dominant gas in mass emitted in </w:t>
      </w:r>
      <w:r w:rsidR="00503930" w:rsidRPr="00503930">
        <w:rPr>
          <w:sz w:val="20"/>
          <w:szCs w:val="20"/>
        </w:rPr>
        <w:t>both</w:t>
      </w:r>
      <w:r w:rsidRPr="00503930">
        <w:rPr>
          <w:sz w:val="20"/>
          <w:szCs w:val="20"/>
        </w:rPr>
        <w:t xml:space="preserve"> scenarios. Scenario </w:t>
      </w:r>
      <w:r w:rsidR="00503930">
        <w:rPr>
          <w:sz w:val="20"/>
          <w:szCs w:val="20"/>
        </w:rPr>
        <w:t>1</w:t>
      </w:r>
      <w:r w:rsidRPr="00503930">
        <w:rPr>
          <w:sz w:val="20"/>
          <w:szCs w:val="20"/>
        </w:rPr>
        <w:t xml:space="preserve"> </w:t>
      </w:r>
      <w:r w:rsidR="00EA0280">
        <w:rPr>
          <w:sz w:val="20"/>
          <w:szCs w:val="20"/>
        </w:rPr>
        <w:t xml:space="preserve">(Incineration) </w:t>
      </w:r>
      <w:r w:rsidRPr="00503930">
        <w:rPr>
          <w:sz w:val="20"/>
          <w:szCs w:val="20"/>
        </w:rPr>
        <w:t>has much higher CO</w:t>
      </w:r>
      <w:r w:rsidRPr="00503930">
        <w:rPr>
          <w:sz w:val="20"/>
          <w:szCs w:val="20"/>
          <w:vertAlign w:val="subscript"/>
        </w:rPr>
        <w:t>2</w:t>
      </w:r>
      <w:r w:rsidRPr="00503930">
        <w:rPr>
          <w:sz w:val="20"/>
          <w:szCs w:val="20"/>
        </w:rPr>
        <w:t xml:space="preserve"> emission</w:t>
      </w:r>
      <w:r w:rsidR="001D120A">
        <w:rPr>
          <w:sz w:val="20"/>
          <w:szCs w:val="20"/>
        </w:rPr>
        <w:t xml:space="preserve"> (</w:t>
      </w:r>
      <w:r w:rsidR="001D120A" w:rsidRPr="00503930">
        <w:rPr>
          <w:sz w:val="20"/>
          <w:szCs w:val="20"/>
        </w:rPr>
        <w:t>695 kg/t</w:t>
      </w:r>
      <w:r w:rsidR="001D120A">
        <w:rPr>
          <w:sz w:val="20"/>
          <w:szCs w:val="20"/>
        </w:rPr>
        <w:t>)</w:t>
      </w:r>
      <w:r w:rsidR="001D120A" w:rsidRPr="00503930">
        <w:rPr>
          <w:sz w:val="20"/>
          <w:szCs w:val="20"/>
        </w:rPr>
        <w:t xml:space="preserve"> </w:t>
      </w:r>
      <w:r w:rsidRPr="00503930">
        <w:rPr>
          <w:sz w:val="20"/>
          <w:szCs w:val="20"/>
        </w:rPr>
        <w:t xml:space="preserve">than </w:t>
      </w:r>
      <w:r w:rsidR="001D120A">
        <w:rPr>
          <w:sz w:val="20"/>
          <w:szCs w:val="20"/>
        </w:rPr>
        <w:t>Scenario 2</w:t>
      </w:r>
      <w:r w:rsidRPr="00503930">
        <w:rPr>
          <w:sz w:val="20"/>
          <w:szCs w:val="20"/>
        </w:rPr>
        <w:t>, due the energy consumption for equipment for flue gas cleaning system.</w:t>
      </w:r>
      <w:r w:rsidRPr="009B5EBE">
        <w:rPr>
          <w:color w:val="FF0000"/>
          <w:sz w:val="20"/>
          <w:szCs w:val="20"/>
        </w:rPr>
        <w:t xml:space="preserve"> </w:t>
      </w:r>
      <w:r w:rsidRPr="00503930">
        <w:rPr>
          <w:sz w:val="20"/>
          <w:szCs w:val="20"/>
        </w:rPr>
        <w:t xml:space="preserve">Scenario </w:t>
      </w:r>
      <w:r w:rsidR="00503930" w:rsidRPr="00503930">
        <w:rPr>
          <w:sz w:val="20"/>
          <w:szCs w:val="20"/>
        </w:rPr>
        <w:t>1</w:t>
      </w:r>
      <w:r w:rsidRPr="00503930">
        <w:rPr>
          <w:sz w:val="20"/>
          <w:szCs w:val="20"/>
        </w:rPr>
        <w:t xml:space="preserve"> is also large</w:t>
      </w:r>
      <w:r w:rsidR="001D120A">
        <w:rPr>
          <w:sz w:val="20"/>
          <w:szCs w:val="20"/>
        </w:rPr>
        <w:t>r</w:t>
      </w:r>
      <w:r w:rsidRPr="00503930">
        <w:rPr>
          <w:sz w:val="20"/>
          <w:szCs w:val="20"/>
        </w:rPr>
        <w:t xml:space="preserve"> contributor of heavy metal and dioxins emissions due to the fact that in </w:t>
      </w:r>
      <w:r w:rsidR="00503930" w:rsidRPr="00503930">
        <w:rPr>
          <w:sz w:val="20"/>
          <w:szCs w:val="20"/>
        </w:rPr>
        <w:t>this s</w:t>
      </w:r>
      <w:r w:rsidRPr="00503930">
        <w:rPr>
          <w:sz w:val="20"/>
          <w:szCs w:val="20"/>
        </w:rPr>
        <w:t>cenario there is an incineration of comingled waste (including Cl-rich plastics). This condition favors the formation of dioxins</w:t>
      </w:r>
      <w:r w:rsidRPr="00B341B5">
        <w:rPr>
          <w:sz w:val="20"/>
          <w:szCs w:val="20"/>
        </w:rPr>
        <w:t xml:space="preserve">. </w:t>
      </w:r>
      <w:r w:rsidR="00B76DCD" w:rsidRPr="00B341B5">
        <w:rPr>
          <w:sz w:val="20"/>
          <w:szCs w:val="20"/>
        </w:rPr>
        <w:t xml:space="preserve">On the other hand, </w:t>
      </w:r>
      <w:r w:rsidR="00B341B5" w:rsidRPr="00B341B5">
        <w:rPr>
          <w:sz w:val="20"/>
          <w:szCs w:val="20"/>
        </w:rPr>
        <w:t xml:space="preserve">due to the decomposition of organic waste, </w:t>
      </w:r>
      <w:r w:rsidR="00B76DCD" w:rsidRPr="00B341B5">
        <w:rPr>
          <w:sz w:val="20"/>
          <w:szCs w:val="20"/>
        </w:rPr>
        <w:t>Scenario 2 (</w:t>
      </w:r>
      <w:r w:rsidR="00B76DCD" w:rsidRPr="00B341B5">
        <w:rPr>
          <w:sz w:val="20"/>
          <w:szCs w:val="20"/>
          <w:lang w:val="en-GB"/>
        </w:rPr>
        <w:t>Anaerobic Digestion and Recycling)</w:t>
      </w:r>
      <w:r w:rsidR="00B341B5" w:rsidRPr="00B341B5">
        <w:rPr>
          <w:sz w:val="20"/>
          <w:szCs w:val="20"/>
        </w:rPr>
        <w:t>, has higher emission of CH</w:t>
      </w:r>
      <w:r w:rsidR="00B341B5" w:rsidRPr="00B341B5">
        <w:rPr>
          <w:sz w:val="20"/>
          <w:szCs w:val="20"/>
          <w:vertAlign w:val="subscript"/>
        </w:rPr>
        <w:t>4</w:t>
      </w:r>
      <w:r w:rsidR="00B341B5" w:rsidRPr="00B341B5">
        <w:rPr>
          <w:sz w:val="20"/>
          <w:szCs w:val="20"/>
        </w:rPr>
        <w:t xml:space="preserve"> (0.958 kg/t). Also, for the same reason, the emission of NMVOC (0.0623 kg/t) is higher than in Scenario 1.</w:t>
      </w:r>
    </w:p>
    <w:p w:rsidR="00A936B8" w:rsidRPr="00813555" w:rsidRDefault="00A936B8" w:rsidP="00F72C5D">
      <w:pPr>
        <w:jc w:val="both"/>
        <w:rPr>
          <w:sz w:val="20"/>
          <w:szCs w:val="20"/>
        </w:rPr>
      </w:pPr>
    </w:p>
    <w:p w:rsidR="00F72C5D" w:rsidRPr="00813555" w:rsidRDefault="00F72C5D" w:rsidP="00A936B8">
      <w:pPr>
        <w:jc w:val="center"/>
        <w:rPr>
          <w:sz w:val="20"/>
          <w:szCs w:val="20"/>
          <w:lang w:val="en-GB"/>
        </w:rPr>
      </w:pPr>
      <w:r w:rsidRPr="00813555">
        <w:rPr>
          <w:b/>
          <w:sz w:val="20"/>
          <w:szCs w:val="20"/>
          <w:lang w:val="en-GB"/>
        </w:rPr>
        <w:t xml:space="preserve">Table </w:t>
      </w:r>
      <w:r w:rsidR="00D84595" w:rsidRPr="00D84595">
        <w:rPr>
          <w:b/>
          <w:sz w:val="20"/>
          <w:szCs w:val="20"/>
          <w:lang w:val="en-GB"/>
        </w:rPr>
        <w:fldChar w:fldCharType="begin"/>
      </w:r>
      <w:r w:rsidRPr="00813555">
        <w:rPr>
          <w:b/>
          <w:sz w:val="20"/>
          <w:szCs w:val="20"/>
          <w:lang w:val="en-GB"/>
        </w:rPr>
        <w:instrText xml:space="preserve"> SEQ Table \* ARABIC </w:instrText>
      </w:r>
      <w:r w:rsidR="00D84595" w:rsidRPr="00D84595">
        <w:rPr>
          <w:b/>
          <w:sz w:val="20"/>
          <w:szCs w:val="20"/>
          <w:lang w:val="en-GB"/>
        </w:rPr>
        <w:fldChar w:fldCharType="separate"/>
      </w:r>
      <w:r w:rsidRPr="00813555">
        <w:rPr>
          <w:b/>
          <w:sz w:val="20"/>
          <w:szCs w:val="20"/>
          <w:lang w:val="en-GB"/>
        </w:rPr>
        <w:t>2</w:t>
      </w:r>
      <w:r w:rsidR="00D84595" w:rsidRPr="00813555">
        <w:rPr>
          <w:b/>
          <w:sz w:val="20"/>
          <w:szCs w:val="20"/>
          <w:lang w:val="de-DE"/>
        </w:rPr>
        <w:fldChar w:fldCharType="end"/>
      </w:r>
      <w:r w:rsidR="00A936B8" w:rsidRPr="006D08EE">
        <w:rPr>
          <w:b/>
          <w:sz w:val="20"/>
          <w:szCs w:val="20"/>
        </w:rPr>
        <w:t>:</w:t>
      </w:r>
      <w:r w:rsidRPr="00813555">
        <w:rPr>
          <w:sz w:val="20"/>
          <w:szCs w:val="20"/>
          <w:lang w:val="en-GB"/>
        </w:rPr>
        <w:t xml:space="preserve"> Comparison among airborne emissions from scenario</w:t>
      </w:r>
      <w:r w:rsidR="005D496F" w:rsidRPr="00813555">
        <w:rPr>
          <w:sz w:val="20"/>
          <w:szCs w:val="20"/>
          <w:lang w:val="en-GB"/>
        </w:rPr>
        <w:t>s</w:t>
      </w:r>
    </w:p>
    <w:tbl>
      <w:tblPr>
        <w:tblW w:w="2356" w:type="pct"/>
        <w:jc w:val="center"/>
        <w:tblInd w:w="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tblPr>
      <w:tblGrid>
        <w:gridCol w:w="1410"/>
        <w:gridCol w:w="1417"/>
        <w:gridCol w:w="1741"/>
      </w:tblGrid>
      <w:tr w:rsidR="00896213" w:rsidRPr="00813555" w:rsidTr="00EE3C72">
        <w:trPr>
          <w:trHeight w:val="279"/>
          <w:jc w:val="center"/>
        </w:trPr>
        <w:tc>
          <w:tcPr>
            <w:tcW w:w="1410" w:type="dxa"/>
            <w:tcBorders>
              <w:top w:val="single" w:sz="12" w:space="0" w:color="auto"/>
              <w:bottom w:val="single" w:sz="12" w:space="0" w:color="auto"/>
              <w:right w:val="single" w:sz="4" w:space="0" w:color="auto"/>
            </w:tcBorders>
            <w:tcMar>
              <w:left w:w="28" w:type="dxa"/>
              <w:right w:w="28" w:type="dxa"/>
            </w:tcMar>
            <w:vAlign w:val="center"/>
          </w:tcPr>
          <w:p w:rsidR="00036004" w:rsidRPr="00813555" w:rsidRDefault="00036004" w:rsidP="00F72C5D">
            <w:pPr>
              <w:jc w:val="both"/>
              <w:rPr>
                <w:sz w:val="20"/>
                <w:szCs w:val="20"/>
                <w:lang w:val="en-GB"/>
              </w:rPr>
            </w:pPr>
            <w:r w:rsidRPr="00813555">
              <w:rPr>
                <w:sz w:val="20"/>
                <w:szCs w:val="20"/>
                <w:lang w:val="en-GB"/>
              </w:rPr>
              <w:t>Emission factors (kg/t)</w:t>
            </w:r>
          </w:p>
        </w:tc>
        <w:tc>
          <w:tcPr>
            <w:tcW w:w="1417" w:type="dxa"/>
            <w:tcBorders>
              <w:top w:val="single" w:sz="12" w:space="0" w:color="auto"/>
              <w:left w:val="single" w:sz="4" w:space="0" w:color="auto"/>
              <w:bottom w:val="single" w:sz="12" w:space="0" w:color="auto"/>
              <w:right w:val="single" w:sz="4" w:space="0" w:color="auto"/>
            </w:tcBorders>
            <w:tcMar>
              <w:left w:w="28" w:type="dxa"/>
              <w:right w:w="28" w:type="dxa"/>
            </w:tcMar>
            <w:vAlign w:val="center"/>
          </w:tcPr>
          <w:p w:rsidR="00036004" w:rsidRPr="00813555" w:rsidRDefault="00036004" w:rsidP="00F72C5D">
            <w:pPr>
              <w:jc w:val="both"/>
              <w:rPr>
                <w:i/>
                <w:sz w:val="20"/>
                <w:szCs w:val="20"/>
                <w:lang w:val="en-GB"/>
              </w:rPr>
            </w:pPr>
            <w:r w:rsidRPr="00813555">
              <w:rPr>
                <w:sz w:val="20"/>
                <w:szCs w:val="20"/>
                <w:lang w:val="en-GB"/>
              </w:rPr>
              <w:t>Incineration</w:t>
            </w:r>
          </w:p>
        </w:tc>
        <w:tc>
          <w:tcPr>
            <w:tcW w:w="1741" w:type="dxa"/>
            <w:tcBorders>
              <w:top w:val="single" w:sz="12" w:space="0" w:color="auto"/>
              <w:left w:val="single" w:sz="4" w:space="0" w:color="auto"/>
              <w:bottom w:val="single" w:sz="12" w:space="0" w:color="auto"/>
            </w:tcBorders>
            <w:tcMar>
              <w:left w:w="28" w:type="dxa"/>
              <w:right w:w="28" w:type="dxa"/>
            </w:tcMar>
            <w:vAlign w:val="center"/>
          </w:tcPr>
          <w:p w:rsidR="00036004" w:rsidRPr="00813555" w:rsidRDefault="00036004" w:rsidP="005D496F">
            <w:pPr>
              <w:jc w:val="both"/>
              <w:rPr>
                <w:sz w:val="20"/>
                <w:szCs w:val="20"/>
                <w:lang w:val="en-GB"/>
              </w:rPr>
            </w:pPr>
            <w:r w:rsidRPr="00813555">
              <w:rPr>
                <w:sz w:val="20"/>
                <w:szCs w:val="20"/>
                <w:lang w:val="en-GB"/>
              </w:rPr>
              <w:t>Anaerobic Digestion</w:t>
            </w:r>
            <w:r w:rsidR="005D496F" w:rsidRPr="00813555">
              <w:rPr>
                <w:sz w:val="20"/>
                <w:szCs w:val="20"/>
                <w:lang w:val="en-GB"/>
              </w:rPr>
              <w:t xml:space="preserve"> and Recycling </w:t>
            </w:r>
          </w:p>
        </w:tc>
      </w:tr>
      <w:tr w:rsidR="00896213" w:rsidRPr="00813555" w:rsidTr="00EE3C72">
        <w:trPr>
          <w:trHeight w:val="279"/>
          <w:jc w:val="center"/>
        </w:trPr>
        <w:tc>
          <w:tcPr>
            <w:tcW w:w="1410" w:type="dxa"/>
            <w:tcBorders>
              <w:top w:val="single" w:sz="12" w:space="0" w:color="auto"/>
              <w:bottom w:val="single" w:sz="4" w:space="0" w:color="auto"/>
              <w:right w:val="single" w:sz="4" w:space="0" w:color="auto"/>
            </w:tcBorders>
            <w:tcMar>
              <w:left w:w="28" w:type="dxa"/>
              <w:right w:w="28" w:type="dxa"/>
            </w:tcMar>
            <w:vAlign w:val="center"/>
          </w:tcPr>
          <w:p w:rsidR="00036004" w:rsidRPr="00813555" w:rsidRDefault="00036004" w:rsidP="00F72C5D">
            <w:pPr>
              <w:jc w:val="both"/>
              <w:rPr>
                <w:sz w:val="20"/>
                <w:szCs w:val="20"/>
                <w:lang w:val="en-GB"/>
              </w:rPr>
            </w:pPr>
            <w:r w:rsidRPr="00813555">
              <w:rPr>
                <w:sz w:val="20"/>
                <w:szCs w:val="20"/>
                <w:lang w:val="en-GB"/>
              </w:rPr>
              <w:t>CO</w:t>
            </w:r>
            <w:r w:rsidRPr="00813555">
              <w:rPr>
                <w:sz w:val="20"/>
                <w:szCs w:val="20"/>
                <w:vertAlign w:val="subscript"/>
                <w:lang w:val="en-GB"/>
              </w:rPr>
              <w:t>2</w:t>
            </w:r>
          </w:p>
        </w:tc>
        <w:tc>
          <w:tcPr>
            <w:tcW w:w="1417" w:type="dxa"/>
            <w:tcBorders>
              <w:top w:val="single" w:sz="12" w:space="0" w:color="auto"/>
              <w:left w:val="single" w:sz="4" w:space="0" w:color="auto"/>
              <w:bottom w:val="single" w:sz="4" w:space="0" w:color="auto"/>
              <w:right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6.95E+02</w:t>
            </w:r>
          </w:p>
        </w:tc>
        <w:tc>
          <w:tcPr>
            <w:tcW w:w="1741" w:type="dxa"/>
            <w:tcBorders>
              <w:top w:val="single" w:sz="12" w:space="0" w:color="auto"/>
              <w:left w:val="single" w:sz="4" w:space="0" w:color="auto"/>
              <w:bottom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6.61E+00</w:t>
            </w:r>
          </w:p>
        </w:tc>
      </w:tr>
      <w:tr w:rsidR="00896213" w:rsidRPr="00813555" w:rsidTr="00EE3C72">
        <w:trPr>
          <w:trHeight w:val="295"/>
          <w:jc w:val="center"/>
        </w:trPr>
        <w:tc>
          <w:tcPr>
            <w:tcW w:w="1410" w:type="dxa"/>
            <w:tcBorders>
              <w:top w:val="single" w:sz="4" w:space="0" w:color="auto"/>
              <w:bottom w:val="single" w:sz="4" w:space="0" w:color="auto"/>
              <w:right w:val="single" w:sz="4" w:space="0" w:color="auto"/>
            </w:tcBorders>
            <w:tcMar>
              <w:left w:w="28" w:type="dxa"/>
              <w:right w:w="28" w:type="dxa"/>
            </w:tcMar>
            <w:vAlign w:val="center"/>
          </w:tcPr>
          <w:p w:rsidR="00036004" w:rsidRPr="00813555" w:rsidRDefault="00036004" w:rsidP="00F72C5D">
            <w:pPr>
              <w:jc w:val="both"/>
              <w:rPr>
                <w:sz w:val="20"/>
                <w:szCs w:val="20"/>
                <w:lang w:val="en-GB"/>
              </w:rPr>
            </w:pPr>
            <w:r w:rsidRPr="00813555">
              <w:rPr>
                <w:sz w:val="20"/>
                <w:szCs w:val="20"/>
                <w:lang w:val="en-GB"/>
              </w:rPr>
              <w:t>CO</w:t>
            </w:r>
          </w:p>
        </w:tc>
        <w:tc>
          <w:tcPr>
            <w:tcW w:w="1417" w:type="dxa"/>
            <w:tcBorders>
              <w:top w:val="single" w:sz="4" w:space="0" w:color="auto"/>
              <w:left w:val="single" w:sz="4" w:space="0" w:color="auto"/>
              <w:bottom w:val="single" w:sz="4" w:space="0" w:color="auto"/>
              <w:right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1.36E-01</w:t>
            </w:r>
          </w:p>
        </w:tc>
        <w:tc>
          <w:tcPr>
            <w:tcW w:w="1741" w:type="dxa"/>
            <w:tcBorders>
              <w:top w:val="single" w:sz="4" w:space="0" w:color="auto"/>
              <w:left w:val="single" w:sz="4" w:space="0" w:color="auto"/>
              <w:bottom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8.58E-01</w:t>
            </w:r>
          </w:p>
        </w:tc>
      </w:tr>
      <w:tr w:rsidR="00896213" w:rsidRPr="00813555" w:rsidTr="00EE3C72">
        <w:trPr>
          <w:trHeight w:val="295"/>
          <w:jc w:val="center"/>
        </w:trPr>
        <w:tc>
          <w:tcPr>
            <w:tcW w:w="1410" w:type="dxa"/>
            <w:tcBorders>
              <w:top w:val="single" w:sz="4" w:space="0" w:color="auto"/>
              <w:bottom w:val="single" w:sz="4" w:space="0" w:color="auto"/>
              <w:right w:val="single" w:sz="4" w:space="0" w:color="auto"/>
            </w:tcBorders>
            <w:tcMar>
              <w:left w:w="28" w:type="dxa"/>
              <w:right w:w="28" w:type="dxa"/>
            </w:tcMar>
            <w:vAlign w:val="center"/>
          </w:tcPr>
          <w:p w:rsidR="00036004" w:rsidRPr="00813555" w:rsidRDefault="00036004" w:rsidP="00F72C5D">
            <w:pPr>
              <w:jc w:val="both"/>
              <w:rPr>
                <w:sz w:val="20"/>
                <w:szCs w:val="20"/>
                <w:lang w:val="en-GB"/>
              </w:rPr>
            </w:pPr>
            <w:r w:rsidRPr="00813555">
              <w:rPr>
                <w:sz w:val="20"/>
                <w:szCs w:val="20"/>
                <w:lang w:val="en-GB"/>
              </w:rPr>
              <w:t>CH</w:t>
            </w:r>
            <w:r w:rsidRPr="00813555">
              <w:rPr>
                <w:sz w:val="20"/>
                <w:szCs w:val="20"/>
                <w:vertAlign w:val="subscript"/>
                <w:lang w:val="en-GB"/>
              </w:rPr>
              <w:t>4</w:t>
            </w:r>
          </w:p>
        </w:tc>
        <w:tc>
          <w:tcPr>
            <w:tcW w:w="1417" w:type="dxa"/>
            <w:tcBorders>
              <w:top w:val="single" w:sz="4" w:space="0" w:color="auto"/>
              <w:left w:val="single" w:sz="4" w:space="0" w:color="auto"/>
              <w:bottom w:val="single" w:sz="4" w:space="0" w:color="auto"/>
              <w:right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1.01E-02</w:t>
            </w:r>
          </w:p>
        </w:tc>
        <w:tc>
          <w:tcPr>
            <w:tcW w:w="1741" w:type="dxa"/>
            <w:tcBorders>
              <w:top w:val="single" w:sz="4" w:space="0" w:color="auto"/>
              <w:left w:val="single" w:sz="4" w:space="0" w:color="auto"/>
              <w:bottom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9.58E-01</w:t>
            </w:r>
          </w:p>
        </w:tc>
      </w:tr>
      <w:tr w:rsidR="00896213" w:rsidRPr="00813555" w:rsidTr="00EE3C72">
        <w:trPr>
          <w:trHeight w:val="279"/>
          <w:jc w:val="center"/>
        </w:trPr>
        <w:tc>
          <w:tcPr>
            <w:tcW w:w="1410" w:type="dxa"/>
            <w:tcBorders>
              <w:top w:val="single" w:sz="4" w:space="0" w:color="auto"/>
              <w:bottom w:val="single" w:sz="4" w:space="0" w:color="auto"/>
              <w:right w:val="single" w:sz="4" w:space="0" w:color="auto"/>
            </w:tcBorders>
            <w:tcMar>
              <w:left w:w="28" w:type="dxa"/>
              <w:right w:w="28" w:type="dxa"/>
            </w:tcMar>
            <w:vAlign w:val="center"/>
          </w:tcPr>
          <w:p w:rsidR="00036004" w:rsidRPr="00813555" w:rsidRDefault="00036004" w:rsidP="00F72C5D">
            <w:pPr>
              <w:jc w:val="both"/>
              <w:rPr>
                <w:sz w:val="20"/>
                <w:szCs w:val="20"/>
                <w:lang w:val="en-GB"/>
              </w:rPr>
            </w:pPr>
            <w:r w:rsidRPr="00813555">
              <w:rPr>
                <w:sz w:val="20"/>
                <w:szCs w:val="20"/>
                <w:lang w:val="en-GB"/>
              </w:rPr>
              <w:t>NO</w:t>
            </w:r>
            <w:r w:rsidRPr="00813555">
              <w:rPr>
                <w:sz w:val="20"/>
                <w:szCs w:val="20"/>
                <w:vertAlign w:val="subscript"/>
                <w:lang w:val="en-GB"/>
              </w:rPr>
              <w:t>x</w:t>
            </w:r>
          </w:p>
        </w:tc>
        <w:tc>
          <w:tcPr>
            <w:tcW w:w="1417" w:type="dxa"/>
            <w:tcBorders>
              <w:top w:val="single" w:sz="4" w:space="0" w:color="auto"/>
              <w:left w:val="single" w:sz="4" w:space="0" w:color="auto"/>
              <w:bottom w:val="single" w:sz="4" w:space="0" w:color="auto"/>
              <w:right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8.25E-01</w:t>
            </w:r>
          </w:p>
        </w:tc>
        <w:tc>
          <w:tcPr>
            <w:tcW w:w="1741" w:type="dxa"/>
            <w:tcBorders>
              <w:top w:val="single" w:sz="4" w:space="0" w:color="auto"/>
              <w:left w:val="single" w:sz="4" w:space="0" w:color="auto"/>
              <w:bottom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6.06E-01</w:t>
            </w:r>
          </w:p>
        </w:tc>
      </w:tr>
      <w:tr w:rsidR="00896213" w:rsidRPr="00813555" w:rsidTr="00EE3C72">
        <w:trPr>
          <w:trHeight w:val="279"/>
          <w:jc w:val="center"/>
        </w:trPr>
        <w:tc>
          <w:tcPr>
            <w:tcW w:w="1410" w:type="dxa"/>
            <w:tcBorders>
              <w:top w:val="single" w:sz="4" w:space="0" w:color="auto"/>
              <w:bottom w:val="single" w:sz="4" w:space="0" w:color="auto"/>
              <w:right w:val="single" w:sz="4" w:space="0" w:color="auto"/>
            </w:tcBorders>
            <w:tcMar>
              <w:left w:w="28" w:type="dxa"/>
              <w:right w:w="28" w:type="dxa"/>
            </w:tcMar>
            <w:vAlign w:val="center"/>
          </w:tcPr>
          <w:p w:rsidR="00036004" w:rsidRPr="00813555" w:rsidRDefault="00036004" w:rsidP="00F72C5D">
            <w:pPr>
              <w:jc w:val="both"/>
              <w:rPr>
                <w:sz w:val="20"/>
                <w:szCs w:val="20"/>
                <w:lang w:val="en-GB"/>
              </w:rPr>
            </w:pPr>
            <w:r w:rsidRPr="00813555">
              <w:rPr>
                <w:sz w:val="20"/>
                <w:szCs w:val="20"/>
                <w:lang w:val="en-GB"/>
              </w:rPr>
              <w:t>N</w:t>
            </w:r>
            <w:r w:rsidRPr="00813555">
              <w:rPr>
                <w:sz w:val="20"/>
                <w:szCs w:val="20"/>
                <w:vertAlign w:val="subscript"/>
                <w:lang w:val="en-GB"/>
              </w:rPr>
              <w:t>2</w:t>
            </w:r>
            <w:r w:rsidRPr="00813555">
              <w:rPr>
                <w:sz w:val="20"/>
                <w:szCs w:val="20"/>
                <w:lang w:val="en-GB"/>
              </w:rPr>
              <w:t>O</w:t>
            </w:r>
          </w:p>
        </w:tc>
        <w:tc>
          <w:tcPr>
            <w:tcW w:w="1417" w:type="dxa"/>
            <w:tcBorders>
              <w:top w:val="single" w:sz="4" w:space="0" w:color="auto"/>
              <w:left w:val="single" w:sz="4" w:space="0" w:color="auto"/>
              <w:bottom w:val="single" w:sz="4" w:space="0" w:color="auto"/>
              <w:right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8.30E-03</w:t>
            </w:r>
          </w:p>
        </w:tc>
        <w:tc>
          <w:tcPr>
            <w:tcW w:w="1741" w:type="dxa"/>
            <w:tcBorders>
              <w:top w:val="single" w:sz="4" w:space="0" w:color="auto"/>
              <w:left w:val="single" w:sz="4" w:space="0" w:color="auto"/>
              <w:bottom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9.07E-02</w:t>
            </w:r>
          </w:p>
        </w:tc>
      </w:tr>
      <w:tr w:rsidR="00896213" w:rsidRPr="00813555" w:rsidTr="00EE3C72">
        <w:trPr>
          <w:trHeight w:val="279"/>
          <w:jc w:val="center"/>
        </w:trPr>
        <w:tc>
          <w:tcPr>
            <w:tcW w:w="1410" w:type="dxa"/>
            <w:tcBorders>
              <w:top w:val="single" w:sz="4" w:space="0" w:color="auto"/>
              <w:bottom w:val="single" w:sz="4" w:space="0" w:color="auto"/>
              <w:right w:val="single" w:sz="4" w:space="0" w:color="auto"/>
            </w:tcBorders>
            <w:tcMar>
              <w:left w:w="28" w:type="dxa"/>
              <w:right w:w="28" w:type="dxa"/>
            </w:tcMar>
            <w:vAlign w:val="center"/>
          </w:tcPr>
          <w:p w:rsidR="00036004" w:rsidRPr="00813555" w:rsidRDefault="00036004" w:rsidP="00F72C5D">
            <w:pPr>
              <w:jc w:val="both"/>
              <w:rPr>
                <w:sz w:val="20"/>
                <w:szCs w:val="20"/>
                <w:lang w:val="en-GB"/>
              </w:rPr>
            </w:pPr>
            <w:r w:rsidRPr="00813555">
              <w:rPr>
                <w:sz w:val="20"/>
                <w:szCs w:val="20"/>
                <w:lang w:val="en-GB"/>
              </w:rPr>
              <w:t>SO</w:t>
            </w:r>
            <w:r w:rsidRPr="00813555">
              <w:rPr>
                <w:sz w:val="20"/>
                <w:szCs w:val="20"/>
                <w:vertAlign w:val="subscript"/>
                <w:lang w:val="en-GB"/>
              </w:rPr>
              <w:t>2</w:t>
            </w:r>
          </w:p>
        </w:tc>
        <w:tc>
          <w:tcPr>
            <w:tcW w:w="1417" w:type="dxa"/>
            <w:tcBorders>
              <w:top w:val="single" w:sz="4" w:space="0" w:color="auto"/>
              <w:left w:val="single" w:sz="4" w:space="0" w:color="auto"/>
              <w:bottom w:val="single" w:sz="4" w:space="0" w:color="auto"/>
              <w:right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1.12E-03</w:t>
            </w:r>
          </w:p>
        </w:tc>
        <w:tc>
          <w:tcPr>
            <w:tcW w:w="1741" w:type="dxa"/>
            <w:tcBorders>
              <w:top w:val="single" w:sz="4" w:space="0" w:color="auto"/>
              <w:left w:val="single" w:sz="4" w:space="0" w:color="auto"/>
              <w:bottom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8.59E-02</w:t>
            </w:r>
          </w:p>
        </w:tc>
      </w:tr>
      <w:tr w:rsidR="00896213" w:rsidRPr="00813555" w:rsidTr="00EE3C72">
        <w:trPr>
          <w:trHeight w:val="279"/>
          <w:jc w:val="center"/>
        </w:trPr>
        <w:tc>
          <w:tcPr>
            <w:tcW w:w="1410" w:type="dxa"/>
            <w:tcBorders>
              <w:top w:val="single" w:sz="4" w:space="0" w:color="auto"/>
              <w:bottom w:val="single" w:sz="4" w:space="0" w:color="auto"/>
              <w:right w:val="single" w:sz="4" w:space="0" w:color="auto"/>
            </w:tcBorders>
            <w:tcMar>
              <w:left w:w="28" w:type="dxa"/>
              <w:right w:w="28" w:type="dxa"/>
            </w:tcMar>
            <w:vAlign w:val="center"/>
          </w:tcPr>
          <w:p w:rsidR="00036004" w:rsidRPr="00813555" w:rsidRDefault="00036004" w:rsidP="00F72C5D">
            <w:pPr>
              <w:jc w:val="both"/>
              <w:rPr>
                <w:sz w:val="20"/>
                <w:szCs w:val="20"/>
                <w:lang w:val="en-GB"/>
              </w:rPr>
            </w:pPr>
            <w:r w:rsidRPr="00813555">
              <w:rPr>
                <w:sz w:val="20"/>
                <w:szCs w:val="20"/>
                <w:lang w:val="en-GB"/>
              </w:rPr>
              <w:t>NMVOC</w:t>
            </w:r>
          </w:p>
        </w:tc>
        <w:tc>
          <w:tcPr>
            <w:tcW w:w="1417" w:type="dxa"/>
            <w:tcBorders>
              <w:top w:val="single" w:sz="4" w:space="0" w:color="auto"/>
              <w:left w:val="single" w:sz="4" w:space="0" w:color="auto"/>
              <w:bottom w:val="single" w:sz="4" w:space="0" w:color="auto"/>
              <w:right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2.70E-04</w:t>
            </w:r>
          </w:p>
        </w:tc>
        <w:tc>
          <w:tcPr>
            <w:tcW w:w="1741" w:type="dxa"/>
            <w:tcBorders>
              <w:top w:val="single" w:sz="4" w:space="0" w:color="auto"/>
              <w:left w:val="single" w:sz="4" w:space="0" w:color="auto"/>
              <w:bottom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6.23E-02</w:t>
            </w:r>
          </w:p>
        </w:tc>
      </w:tr>
      <w:tr w:rsidR="00896213" w:rsidRPr="00813555" w:rsidTr="00EE3C72">
        <w:trPr>
          <w:trHeight w:val="279"/>
          <w:jc w:val="center"/>
        </w:trPr>
        <w:tc>
          <w:tcPr>
            <w:tcW w:w="1410" w:type="dxa"/>
            <w:tcBorders>
              <w:top w:val="single" w:sz="4" w:space="0" w:color="auto"/>
              <w:bottom w:val="single" w:sz="4" w:space="0" w:color="auto"/>
              <w:right w:val="single" w:sz="4" w:space="0" w:color="auto"/>
            </w:tcBorders>
            <w:tcMar>
              <w:left w:w="28" w:type="dxa"/>
              <w:right w:w="28" w:type="dxa"/>
            </w:tcMar>
            <w:vAlign w:val="center"/>
          </w:tcPr>
          <w:p w:rsidR="00036004" w:rsidRPr="00813555" w:rsidRDefault="00036004" w:rsidP="00F72C5D">
            <w:pPr>
              <w:jc w:val="both"/>
              <w:rPr>
                <w:sz w:val="20"/>
                <w:szCs w:val="20"/>
                <w:lang w:val="en-GB"/>
              </w:rPr>
            </w:pPr>
            <w:r w:rsidRPr="00813555">
              <w:rPr>
                <w:sz w:val="20"/>
                <w:szCs w:val="20"/>
                <w:lang w:val="en-GB"/>
              </w:rPr>
              <w:t>NH</w:t>
            </w:r>
            <w:r w:rsidRPr="00813555">
              <w:rPr>
                <w:sz w:val="20"/>
                <w:szCs w:val="20"/>
                <w:vertAlign w:val="subscript"/>
                <w:lang w:val="en-GB"/>
              </w:rPr>
              <w:t>3</w:t>
            </w:r>
          </w:p>
        </w:tc>
        <w:tc>
          <w:tcPr>
            <w:tcW w:w="1417" w:type="dxa"/>
            <w:tcBorders>
              <w:top w:val="single" w:sz="4" w:space="0" w:color="auto"/>
              <w:left w:val="single" w:sz="4" w:space="0" w:color="auto"/>
              <w:bottom w:val="single" w:sz="4" w:space="0" w:color="auto"/>
              <w:right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1.35E-02</w:t>
            </w:r>
          </w:p>
        </w:tc>
        <w:tc>
          <w:tcPr>
            <w:tcW w:w="1741" w:type="dxa"/>
            <w:tcBorders>
              <w:top w:val="single" w:sz="4" w:space="0" w:color="auto"/>
              <w:left w:val="single" w:sz="4" w:space="0" w:color="auto"/>
              <w:bottom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1.26E+00</w:t>
            </w:r>
          </w:p>
        </w:tc>
      </w:tr>
      <w:tr w:rsidR="00896213" w:rsidRPr="00813555" w:rsidTr="00EE3C72">
        <w:trPr>
          <w:trHeight w:val="279"/>
          <w:jc w:val="center"/>
        </w:trPr>
        <w:tc>
          <w:tcPr>
            <w:tcW w:w="1410" w:type="dxa"/>
            <w:tcBorders>
              <w:top w:val="single" w:sz="4" w:space="0" w:color="auto"/>
              <w:bottom w:val="single" w:sz="4" w:space="0" w:color="auto"/>
              <w:right w:val="single" w:sz="4" w:space="0" w:color="auto"/>
            </w:tcBorders>
            <w:tcMar>
              <w:left w:w="28" w:type="dxa"/>
              <w:right w:w="28" w:type="dxa"/>
            </w:tcMar>
            <w:vAlign w:val="center"/>
          </w:tcPr>
          <w:p w:rsidR="00036004" w:rsidRPr="00813555" w:rsidRDefault="00036004" w:rsidP="00F72C5D">
            <w:pPr>
              <w:jc w:val="both"/>
              <w:rPr>
                <w:sz w:val="20"/>
                <w:szCs w:val="20"/>
                <w:lang w:val="en-GB"/>
              </w:rPr>
            </w:pPr>
            <w:r w:rsidRPr="00813555">
              <w:rPr>
                <w:sz w:val="20"/>
                <w:szCs w:val="20"/>
                <w:lang w:val="en-GB"/>
              </w:rPr>
              <w:t>HCl</w:t>
            </w:r>
          </w:p>
        </w:tc>
        <w:tc>
          <w:tcPr>
            <w:tcW w:w="1417" w:type="dxa"/>
            <w:tcBorders>
              <w:top w:val="single" w:sz="4" w:space="0" w:color="auto"/>
              <w:left w:val="single" w:sz="4" w:space="0" w:color="auto"/>
              <w:bottom w:val="single" w:sz="4" w:space="0" w:color="auto"/>
              <w:right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5.17E-04</w:t>
            </w:r>
          </w:p>
        </w:tc>
        <w:tc>
          <w:tcPr>
            <w:tcW w:w="1741" w:type="dxa"/>
            <w:tcBorders>
              <w:top w:val="single" w:sz="4" w:space="0" w:color="auto"/>
              <w:left w:val="single" w:sz="4" w:space="0" w:color="auto"/>
              <w:bottom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2.00E-03</w:t>
            </w:r>
          </w:p>
        </w:tc>
      </w:tr>
      <w:tr w:rsidR="00896213" w:rsidRPr="00813555" w:rsidTr="00EE3C72">
        <w:trPr>
          <w:trHeight w:val="279"/>
          <w:jc w:val="center"/>
        </w:trPr>
        <w:tc>
          <w:tcPr>
            <w:tcW w:w="1410" w:type="dxa"/>
            <w:tcBorders>
              <w:top w:val="single" w:sz="4" w:space="0" w:color="auto"/>
              <w:bottom w:val="single" w:sz="4" w:space="0" w:color="auto"/>
              <w:right w:val="single" w:sz="4" w:space="0" w:color="auto"/>
            </w:tcBorders>
            <w:tcMar>
              <w:left w:w="28" w:type="dxa"/>
              <w:right w:w="28" w:type="dxa"/>
            </w:tcMar>
            <w:vAlign w:val="center"/>
          </w:tcPr>
          <w:p w:rsidR="00036004" w:rsidRPr="00813555" w:rsidRDefault="00036004" w:rsidP="00F72C5D">
            <w:pPr>
              <w:jc w:val="both"/>
              <w:rPr>
                <w:sz w:val="20"/>
                <w:szCs w:val="20"/>
                <w:lang w:val="en-GB"/>
              </w:rPr>
            </w:pPr>
            <w:r w:rsidRPr="00813555">
              <w:rPr>
                <w:sz w:val="20"/>
                <w:szCs w:val="20"/>
                <w:lang w:val="en-GB"/>
              </w:rPr>
              <w:t>HF</w:t>
            </w:r>
          </w:p>
        </w:tc>
        <w:tc>
          <w:tcPr>
            <w:tcW w:w="1417" w:type="dxa"/>
            <w:tcBorders>
              <w:top w:val="single" w:sz="4" w:space="0" w:color="auto"/>
              <w:left w:val="single" w:sz="4" w:space="0" w:color="auto"/>
              <w:bottom w:val="single" w:sz="4" w:space="0" w:color="auto"/>
              <w:right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1.95E-03</w:t>
            </w:r>
          </w:p>
        </w:tc>
        <w:tc>
          <w:tcPr>
            <w:tcW w:w="1741" w:type="dxa"/>
            <w:tcBorders>
              <w:top w:val="single" w:sz="4" w:space="0" w:color="auto"/>
              <w:left w:val="single" w:sz="4" w:space="0" w:color="auto"/>
              <w:bottom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1.20E-03</w:t>
            </w:r>
          </w:p>
        </w:tc>
      </w:tr>
      <w:tr w:rsidR="00896213" w:rsidRPr="00813555" w:rsidTr="00EE3C72">
        <w:trPr>
          <w:trHeight w:val="279"/>
          <w:jc w:val="center"/>
        </w:trPr>
        <w:tc>
          <w:tcPr>
            <w:tcW w:w="1410" w:type="dxa"/>
            <w:tcBorders>
              <w:top w:val="single" w:sz="4" w:space="0" w:color="auto"/>
              <w:bottom w:val="single" w:sz="4" w:space="0" w:color="auto"/>
              <w:right w:val="single" w:sz="4" w:space="0" w:color="auto"/>
            </w:tcBorders>
            <w:tcMar>
              <w:left w:w="28" w:type="dxa"/>
              <w:right w:w="28" w:type="dxa"/>
            </w:tcMar>
            <w:vAlign w:val="center"/>
          </w:tcPr>
          <w:p w:rsidR="00036004" w:rsidRPr="00813555" w:rsidRDefault="00036004" w:rsidP="00F72C5D">
            <w:pPr>
              <w:jc w:val="both"/>
              <w:rPr>
                <w:sz w:val="20"/>
                <w:szCs w:val="20"/>
                <w:lang w:val="en-GB"/>
              </w:rPr>
            </w:pPr>
            <w:r w:rsidRPr="00813555">
              <w:rPr>
                <w:sz w:val="20"/>
                <w:szCs w:val="20"/>
                <w:lang w:val="en-GB"/>
              </w:rPr>
              <w:t>Cr</w:t>
            </w:r>
          </w:p>
        </w:tc>
        <w:tc>
          <w:tcPr>
            <w:tcW w:w="1417" w:type="dxa"/>
            <w:tcBorders>
              <w:top w:val="single" w:sz="4" w:space="0" w:color="auto"/>
              <w:left w:val="single" w:sz="4" w:space="0" w:color="auto"/>
              <w:bottom w:val="single" w:sz="4" w:space="0" w:color="auto"/>
              <w:right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1.64E-06</w:t>
            </w:r>
          </w:p>
        </w:tc>
        <w:tc>
          <w:tcPr>
            <w:tcW w:w="1741" w:type="dxa"/>
            <w:tcBorders>
              <w:top w:val="single" w:sz="4" w:space="0" w:color="auto"/>
              <w:left w:val="single" w:sz="4" w:space="0" w:color="auto"/>
              <w:bottom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7.99E-07</w:t>
            </w:r>
          </w:p>
        </w:tc>
      </w:tr>
      <w:tr w:rsidR="00896213" w:rsidRPr="00813555" w:rsidTr="00EE3C72">
        <w:trPr>
          <w:trHeight w:val="279"/>
          <w:jc w:val="center"/>
        </w:trPr>
        <w:tc>
          <w:tcPr>
            <w:tcW w:w="1410" w:type="dxa"/>
            <w:tcBorders>
              <w:top w:val="single" w:sz="4" w:space="0" w:color="auto"/>
              <w:bottom w:val="single" w:sz="4" w:space="0" w:color="auto"/>
              <w:right w:val="single" w:sz="4" w:space="0" w:color="auto"/>
            </w:tcBorders>
            <w:tcMar>
              <w:left w:w="28" w:type="dxa"/>
              <w:right w:w="28" w:type="dxa"/>
            </w:tcMar>
            <w:vAlign w:val="center"/>
          </w:tcPr>
          <w:p w:rsidR="00036004" w:rsidRPr="00813555" w:rsidRDefault="00036004" w:rsidP="00F72C5D">
            <w:pPr>
              <w:jc w:val="both"/>
              <w:rPr>
                <w:sz w:val="20"/>
                <w:szCs w:val="20"/>
                <w:lang w:val="en-GB"/>
              </w:rPr>
            </w:pPr>
            <w:r w:rsidRPr="00813555">
              <w:rPr>
                <w:sz w:val="20"/>
                <w:szCs w:val="20"/>
                <w:lang w:val="en-GB"/>
              </w:rPr>
              <w:t>Hg</w:t>
            </w:r>
          </w:p>
        </w:tc>
        <w:tc>
          <w:tcPr>
            <w:tcW w:w="1417" w:type="dxa"/>
            <w:tcBorders>
              <w:top w:val="single" w:sz="4" w:space="0" w:color="auto"/>
              <w:left w:val="single" w:sz="4" w:space="0" w:color="auto"/>
              <w:bottom w:val="single" w:sz="4" w:space="0" w:color="auto"/>
              <w:right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1.08E-05</w:t>
            </w:r>
          </w:p>
        </w:tc>
        <w:tc>
          <w:tcPr>
            <w:tcW w:w="1741" w:type="dxa"/>
            <w:tcBorders>
              <w:top w:val="single" w:sz="4" w:space="0" w:color="auto"/>
              <w:left w:val="single" w:sz="4" w:space="0" w:color="auto"/>
              <w:bottom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5.59E-06</w:t>
            </w:r>
          </w:p>
        </w:tc>
      </w:tr>
      <w:tr w:rsidR="00896213" w:rsidRPr="00813555" w:rsidTr="00EE3C72">
        <w:trPr>
          <w:trHeight w:val="279"/>
          <w:jc w:val="center"/>
        </w:trPr>
        <w:tc>
          <w:tcPr>
            <w:tcW w:w="1410" w:type="dxa"/>
            <w:tcBorders>
              <w:top w:val="single" w:sz="4" w:space="0" w:color="auto"/>
              <w:bottom w:val="single" w:sz="4" w:space="0" w:color="auto"/>
              <w:right w:val="single" w:sz="4" w:space="0" w:color="auto"/>
            </w:tcBorders>
            <w:tcMar>
              <w:left w:w="28" w:type="dxa"/>
              <w:right w:w="28" w:type="dxa"/>
            </w:tcMar>
            <w:vAlign w:val="center"/>
          </w:tcPr>
          <w:p w:rsidR="00036004" w:rsidRPr="00813555" w:rsidRDefault="00036004" w:rsidP="00F72C5D">
            <w:pPr>
              <w:jc w:val="both"/>
              <w:rPr>
                <w:sz w:val="20"/>
                <w:szCs w:val="20"/>
                <w:lang w:val="en-GB"/>
              </w:rPr>
            </w:pPr>
            <w:r w:rsidRPr="00813555">
              <w:rPr>
                <w:sz w:val="20"/>
                <w:szCs w:val="20"/>
                <w:lang w:val="en-GB"/>
              </w:rPr>
              <w:t>Ni</w:t>
            </w:r>
          </w:p>
        </w:tc>
        <w:tc>
          <w:tcPr>
            <w:tcW w:w="1417" w:type="dxa"/>
            <w:tcBorders>
              <w:top w:val="single" w:sz="4" w:space="0" w:color="auto"/>
              <w:left w:val="single" w:sz="4" w:space="0" w:color="auto"/>
              <w:bottom w:val="single" w:sz="4" w:space="0" w:color="auto"/>
              <w:right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2.72E-06</w:t>
            </w:r>
          </w:p>
        </w:tc>
        <w:tc>
          <w:tcPr>
            <w:tcW w:w="1741" w:type="dxa"/>
            <w:tcBorders>
              <w:top w:val="single" w:sz="4" w:space="0" w:color="auto"/>
              <w:left w:val="single" w:sz="4" w:space="0" w:color="auto"/>
              <w:bottom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2.66E-07</w:t>
            </w:r>
          </w:p>
        </w:tc>
      </w:tr>
      <w:tr w:rsidR="00896213" w:rsidRPr="00813555" w:rsidTr="00EE3C72">
        <w:trPr>
          <w:trHeight w:val="279"/>
          <w:jc w:val="center"/>
        </w:trPr>
        <w:tc>
          <w:tcPr>
            <w:tcW w:w="1410" w:type="dxa"/>
            <w:tcBorders>
              <w:top w:val="single" w:sz="4" w:space="0" w:color="auto"/>
              <w:bottom w:val="single" w:sz="4" w:space="0" w:color="auto"/>
              <w:right w:val="single" w:sz="4" w:space="0" w:color="auto"/>
            </w:tcBorders>
            <w:tcMar>
              <w:left w:w="28" w:type="dxa"/>
              <w:right w:w="28" w:type="dxa"/>
            </w:tcMar>
            <w:vAlign w:val="center"/>
          </w:tcPr>
          <w:p w:rsidR="00036004" w:rsidRPr="00813555" w:rsidRDefault="00036004" w:rsidP="00F72C5D">
            <w:pPr>
              <w:jc w:val="both"/>
              <w:rPr>
                <w:sz w:val="20"/>
                <w:szCs w:val="20"/>
                <w:lang w:val="en-GB"/>
              </w:rPr>
            </w:pPr>
            <w:r w:rsidRPr="00813555">
              <w:rPr>
                <w:sz w:val="20"/>
                <w:szCs w:val="20"/>
                <w:lang w:val="en-GB"/>
              </w:rPr>
              <w:t>Cu</w:t>
            </w:r>
          </w:p>
        </w:tc>
        <w:tc>
          <w:tcPr>
            <w:tcW w:w="1417" w:type="dxa"/>
            <w:tcBorders>
              <w:top w:val="single" w:sz="4" w:space="0" w:color="auto"/>
              <w:left w:val="single" w:sz="4" w:space="0" w:color="auto"/>
              <w:bottom w:val="single" w:sz="4" w:space="0" w:color="auto"/>
              <w:right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1.29E-06</w:t>
            </w:r>
          </w:p>
        </w:tc>
        <w:tc>
          <w:tcPr>
            <w:tcW w:w="1741" w:type="dxa"/>
            <w:tcBorders>
              <w:top w:val="single" w:sz="4" w:space="0" w:color="auto"/>
              <w:left w:val="single" w:sz="4" w:space="0" w:color="auto"/>
              <w:bottom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n.a.</w:t>
            </w:r>
          </w:p>
        </w:tc>
      </w:tr>
      <w:tr w:rsidR="00896213" w:rsidRPr="00813555" w:rsidTr="00EE3C72">
        <w:trPr>
          <w:trHeight w:val="295"/>
          <w:jc w:val="center"/>
        </w:trPr>
        <w:tc>
          <w:tcPr>
            <w:tcW w:w="1410" w:type="dxa"/>
            <w:tcBorders>
              <w:top w:val="single" w:sz="4" w:space="0" w:color="auto"/>
              <w:bottom w:val="single" w:sz="4" w:space="0" w:color="auto"/>
              <w:right w:val="single" w:sz="4" w:space="0" w:color="auto"/>
            </w:tcBorders>
            <w:tcMar>
              <w:left w:w="28" w:type="dxa"/>
              <w:right w:w="28" w:type="dxa"/>
            </w:tcMar>
            <w:vAlign w:val="center"/>
          </w:tcPr>
          <w:p w:rsidR="00036004" w:rsidRPr="00813555" w:rsidRDefault="00036004" w:rsidP="00F72C5D">
            <w:pPr>
              <w:jc w:val="both"/>
              <w:rPr>
                <w:sz w:val="20"/>
                <w:szCs w:val="20"/>
                <w:lang w:val="en-GB"/>
              </w:rPr>
            </w:pPr>
            <w:r w:rsidRPr="00813555">
              <w:rPr>
                <w:sz w:val="20"/>
                <w:szCs w:val="20"/>
                <w:lang w:val="en-GB"/>
              </w:rPr>
              <w:t>PCDD</w:t>
            </w:r>
          </w:p>
        </w:tc>
        <w:tc>
          <w:tcPr>
            <w:tcW w:w="1417" w:type="dxa"/>
            <w:tcBorders>
              <w:top w:val="single" w:sz="4" w:space="0" w:color="auto"/>
              <w:left w:val="single" w:sz="4" w:space="0" w:color="auto"/>
              <w:bottom w:val="single" w:sz="4" w:space="0" w:color="auto"/>
              <w:right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7.40E-11</w:t>
            </w:r>
          </w:p>
        </w:tc>
        <w:tc>
          <w:tcPr>
            <w:tcW w:w="1741" w:type="dxa"/>
            <w:tcBorders>
              <w:top w:val="single" w:sz="4" w:space="0" w:color="auto"/>
              <w:left w:val="single" w:sz="4" w:space="0" w:color="auto"/>
              <w:bottom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4.20E-14</w:t>
            </w:r>
          </w:p>
        </w:tc>
      </w:tr>
      <w:tr w:rsidR="00896213" w:rsidRPr="00813555" w:rsidTr="00EE3C72">
        <w:trPr>
          <w:trHeight w:val="295"/>
          <w:jc w:val="center"/>
        </w:trPr>
        <w:tc>
          <w:tcPr>
            <w:tcW w:w="1410" w:type="dxa"/>
            <w:tcBorders>
              <w:top w:val="single" w:sz="4" w:space="0" w:color="auto"/>
              <w:bottom w:val="single" w:sz="12" w:space="0" w:color="auto"/>
              <w:right w:val="single" w:sz="4" w:space="0" w:color="auto"/>
            </w:tcBorders>
            <w:tcMar>
              <w:left w:w="28" w:type="dxa"/>
              <w:right w:w="28" w:type="dxa"/>
            </w:tcMar>
            <w:vAlign w:val="center"/>
          </w:tcPr>
          <w:p w:rsidR="00036004" w:rsidRPr="00813555" w:rsidRDefault="00036004" w:rsidP="00F72C5D">
            <w:pPr>
              <w:jc w:val="both"/>
              <w:rPr>
                <w:sz w:val="20"/>
                <w:szCs w:val="20"/>
                <w:lang w:val="en-GB"/>
              </w:rPr>
            </w:pPr>
            <w:r w:rsidRPr="00813555">
              <w:rPr>
                <w:sz w:val="20"/>
                <w:szCs w:val="20"/>
                <w:lang w:val="en-GB"/>
              </w:rPr>
              <w:t>PM10</w:t>
            </w:r>
          </w:p>
        </w:tc>
        <w:tc>
          <w:tcPr>
            <w:tcW w:w="1417" w:type="dxa"/>
            <w:tcBorders>
              <w:top w:val="single" w:sz="4" w:space="0" w:color="auto"/>
              <w:left w:val="single" w:sz="4" w:space="0" w:color="auto"/>
              <w:bottom w:val="single" w:sz="12" w:space="0" w:color="auto"/>
              <w:right w:val="single" w:sz="4" w:space="0" w:color="auto"/>
            </w:tcBorders>
            <w:vAlign w:val="center"/>
          </w:tcPr>
          <w:p w:rsidR="00036004" w:rsidRPr="00813555" w:rsidRDefault="00036004" w:rsidP="00F72C5D">
            <w:pPr>
              <w:jc w:val="both"/>
              <w:rPr>
                <w:sz w:val="20"/>
                <w:szCs w:val="20"/>
                <w:lang w:val="en-GB"/>
              </w:rPr>
            </w:pPr>
            <w:r w:rsidRPr="00813555">
              <w:rPr>
                <w:sz w:val="20"/>
                <w:szCs w:val="20"/>
                <w:lang w:val="en-GB"/>
              </w:rPr>
              <w:t>8.51E-03</w:t>
            </w:r>
          </w:p>
        </w:tc>
        <w:tc>
          <w:tcPr>
            <w:tcW w:w="1741" w:type="dxa"/>
            <w:tcBorders>
              <w:top w:val="single" w:sz="4" w:space="0" w:color="auto"/>
              <w:left w:val="single" w:sz="4" w:space="0" w:color="auto"/>
              <w:bottom w:val="single" w:sz="12" w:space="0" w:color="auto"/>
            </w:tcBorders>
            <w:vAlign w:val="center"/>
          </w:tcPr>
          <w:p w:rsidR="00036004" w:rsidRPr="00813555" w:rsidRDefault="00036004" w:rsidP="00F72C5D">
            <w:pPr>
              <w:jc w:val="both"/>
              <w:rPr>
                <w:sz w:val="20"/>
                <w:szCs w:val="20"/>
                <w:lang w:val="en-GB"/>
              </w:rPr>
            </w:pPr>
            <w:r w:rsidRPr="00813555">
              <w:rPr>
                <w:sz w:val="20"/>
                <w:szCs w:val="20"/>
                <w:lang w:val="en-GB"/>
              </w:rPr>
              <w:t>6.66E-03</w:t>
            </w:r>
          </w:p>
        </w:tc>
      </w:tr>
    </w:tbl>
    <w:p w:rsidR="00F72C5D" w:rsidRPr="00813555" w:rsidRDefault="00F72C5D" w:rsidP="00F72C5D">
      <w:pPr>
        <w:jc w:val="both"/>
        <w:rPr>
          <w:sz w:val="20"/>
          <w:szCs w:val="20"/>
        </w:rPr>
      </w:pPr>
    </w:p>
    <w:p w:rsidR="00F72C5D" w:rsidRPr="00813555" w:rsidRDefault="00F72C5D" w:rsidP="00F72C5D">
      <w:pPr>
        <w:jc w:val="both"/>
        <w:rPr>
          <w:sz w:val="20"/>
          <w:szCs w:val="20"/>
        </w:rPr>
      </w:pPr>
      <w:r w:rsidRPr="00813555">
        <w:rPr>
          <w:sz w:val="20"/>
          <w:szCs w:val="20"/>
        </w:rPr>
        <w:t>Result of inventory data was classified to the impact categories: Abiotic depletion (ADP), Global warming (GWP100), Human toxicity (HTP), Photochemical oxidation (POCP), Acidification (AP), and Eutrophication (EP). Environmental burdens CO</w:t>
      </w:r>
      <w:r w:rsidRPr="00813555">
        <w:rPr>
          <w:sz w:val="20"/>
          <w:szCs w:val="20"/>
          <w:vertAlign w:val="subscript"/>
        </w:rPr>
        <w:t>2</w:t>
      </w:r>
      <w:r w:rsidRPr="00813555">
        <w:rPr>
          <w:sz w:val="20"/>
          <w:szCs w:val="20"/>
        </w:rPr>
        <w:t>, CH</w:t>
      </w:r>
      <w:r w:rsidRPr="00813555">
        <w:rPr>
          <w:sz w:val="20"/>
          <w:szCs w:val="20"/>
          <w:vertAlign w:val="subscript"/>
        </w:rPr>
        <w:t>4</w:t>
      </w:r>
      <w:r w:rsidRPr="00813555">
        <w:rPr>
          <w:sz w:val="20"/>
          <w:szCs w:val="20"/>
        </w:rPr>
        <w:t>, CO, N</w:t>
      </w:r>
      <w:r w:rsidRPr="00813555">
        <w:rPr>
          <w:sz w:val="20"/>
          <w:szCs w:val="20"/>
          <w:vertAlign w:val="subscript"/>
        </w:rPr>
        <w:t>2</w:t>
      </w:r>
      <w:r w:rsidRPr="00813555">
        <w:rPr>
          <w:sz w:val="20"/>
          <w:szCs w:val="20"/>
        </w:rPr>
        <w:t>O were grouped into the emissions which contribute to the global warming impact category; heavy metals (Cr(VI), Hg, Ni, Cu), dioxins, Ba and Sb into human toxi</w:t>
      </w:r>
      <w:r w:rsidR="00B76DCD">
        <w:rPr>
          <w:sz w:val="20"/>
          <w:szCs w:val="20"/>
        </w:rPr>
        <w:t>ci</w:t>
      </w:r>
      <w:r w:rsidRPr="00813555">
        <w:rPr>
          <w:sz w:val="20"/>
          <w:szCs w:val="20"/>
        </w:rPr>
        <w:t>ty; H</w:t>
      </w:r>
      <w:r w:rsidRPr="00813555">
        <w:rPr>
          <w:sz w:val="20"/>
          <w:szCs w:val="20"/>
          <w:vertAlign w:val="subscript"/>
        </w:rPr>
        <w:t>2</w:t>
      </w:r>
      <w:r w:rsidRPr="00813555">
        <w:rPr>
          <w:sz w:val="20"/>
          <w:szCs w:val="20"/>
        </w:rPr>
        <w:t>S, HCl, HF, SO</w:t>
      </w:r>
      <w:r w:rsidRPr="00813555">
        <w:rPr>
          <w:sz w:val="20"/>
          <w:szCs w:val="20"/>
          <w:vertAlign w:val="subscript"/>
        </w:rPr>
        <w:t>2</w:t>
      </w:r>
      <w:r w:rsidRPr="00813555">
        <w:rPr>
          <w:sz w:val="20"/>
          <w:szCs w:val="20"/>
        </w:rPr>
        <w:t>, and NO</w:t>
      </w:r>
      <w:r w:rsidRPr="00813555">
        <w:rPr>
          <w:sz w:val="20"/>
          <w:szCs w:val="20"/>
          <w:vertAlign w:val="subscript"/>
        </w:rPr>
        <w:t>x</w:t>
      </w:r>
      <w:r w:rsidRPr="00813555">
        <w:rPr>
          <w:sz w:val="20"/>
          <w:szCs w:val="20"/>
        </w:rPr>
        <w:t xml:space="preserve"> into acidification; NO</w:t>
      </w:r>
      <w:r w:rsidRPr="00813555">
        <w:rPr>
          <w:sz w:val="20"/>
          <w:szCs w:val="20"/>
          <w:vertAlign w:val="subscript"/>
        </w:rPr>
        <w:t>x</w:t>
      </w:r>
      <w:r w:rsidRPr="00813555">
        <w:rPr>
          <w:sz w:val="20"/>
          <w:szCs w:val="20"/>
        </w:rPr>
        <w:t>, NH</w:t>
      </w:r>
      <w:r w:rsidRPr="00813555">
        <w:rPr>
          <w:sz w:val="20"/>
          <w:szCs w:val="20"/>
          <w:vertAlign w:val="subscript"/>
        </w:rPr>
        <w:t>3</w:t>
      </w:r>
      <w:r w:rsidRPr="00813555">
        <w:rPr>
          <w:sz w:val="20"/>
          <w:szCs w:val="20"/>
        </w:rPr>
        <w:t xml:space="preserve"> into eutrophication; and CH</w:t>
      </w:r>
      <w:r w:rsidRPr="00813555">
        <w:rPr>
          <w:sz w:val="20"/>
          <w:szCs w:val="20"/>
          <w:vertAlign w:val="subscript"/>
        </w:rPr>
        <w:t>4</w:t>
      </w:r>
      <w:r w:rsidRPr="00813555">
        <w:rPr>
          <w:sz w:val="20"/>
          <w:szCs w:val="20"/>
        </w:rPr>
        <w:t>, CO, NO</w:t>
      </w:r>
      <w:r w:rsidRPr="00813555">
        <w:rPr>
          <w:sz w:val="20"/>
          <w:szCs w:val="20"/>
          <w:vertAlign w:val="subscript"/>
        </w:rPr>
        <w:t>x</w:t>
      </w:r>
      <w:r w:rsidRPr="00813555">
        <w:rPr>
          <w:sz w:val="20"/>
          <w:szCs w:val="20"/>
        </w:rPr>
        <w:t xml:space="preserve">, and NMVOC into photochemical oxidation. The impact indicators were calculated associated to the product emission amounts and their respective equivalency factors. </w:t>
      </w:r>
    </w:p>
    <w:p w:rsidR="00F72C5D" w:rsidRPr="00813555" w:rsidRDefault="00F72C5D" w:rsidP="00F72C5D">
      <w:pPr>
        <w:jc w:val="both"/>
        <w:rPr>
          <w:sz w:val="20"/>
          <w:szCs w:val="20"/>
        </w:rPr>
      </w:pPr>
      <w:r w:rsidRPr="00813555">
        <w:rPr>
          <w:sz w:val="20"/>
          <w:szCs w:val="20"/>
        </w:rPr>
        <w:t>In order to compare the magnitude of the impacts in the different categories, the characterized results have been normalized. In the normalization step, the results are related to the overall environmental impacts in a certain region for a certain year. Thus the results can be described in e.g. Inhabitant Equivalents (IE). Characterization values of the each impact categories are analyzed. Normalization values are given in Table 3.</w:t>
      </w:r>
    </w:p>
    <w:p w:rsidR="00A936B8" w:rsidRPr="00813555" w:rsidRDefault="00A936B8" w:rsidP="00F72C5D">
      <w:pPr>
        <w:jc w:val="both"/>
        <w:rPr>
          <w:sz w:val="20"/>
          <w:szCs w:val="20"/>
        </w:rPr>
      </w:pPr>
    </w:p>
    <w:p w:rsidR="00F72C5D" w:rsidRPr="00813555" w:rsidRDefault="00F72C5D" w:rsidP="00A936B8">
      <w:pPr>
        <w:jc w:val="center"/>
        <w:rPr>
          <w:sz w:val="20"/>
          <w:szCs w:val="20"/>
          <w:lang w:val="en-GB"/>
        </w:rPr>
      </w:pPr>
      <w:r w:rsidRPr="00813555">
        <w:rPr>
          <w:b/>
          <w:sz w:val="20"/>
          <w:szCs w:val="20"/>
          <w:lang w:val="en-GB"/>
        </w:rPr>
        <w:t xml:space="preserve">Table </w:t>
      </w:r>
      <w:r w:rsidR="00D84595" w:rsidRPr="00D84595">
        <w:rPr>
          <w:b/>
          <w:sz w:val="20"/>
          <w:szCs w:val="20"/>
          <w:lang w:val="en-GB"/>
        </w:rPr>
        <w:fldChar w:fldCharType="begin"/>
      </w:r>
      <w:r w:rsidRPr="00813555">
        <w:rPr>
          <w:b/>
          <w:sz w:val="20"/>
          <w:szCs w:val="20"/>
          <w:lang w:val="en-GB"/>
        </w:rPr>
        <w:instrText xml:space="preserve"> SEQ Table \* ARABIC </w:instrText>
      </w:r>
      <w:r w:rsidR="00D84595" w:rsidRPr="00D84595">
        <w:rPr>
          <w:b/>
          <w:sz w:val="20"/>
          <w:szCs w:val="20"/>
          <w:lang w:val="en-GB"/>
        </w:rPr>
        <w:fldChar w:fldCharType="separate"/>
      </w:r>
      <w:r w:rsidRPr="00813555">
        <w:rPr>
          <w:b/>
          <w:sz w:val="20"/>
          <w:szCs w:val="20"/>
          <w:lang w:val="en-GB"/>
        </w:rPr>
        <w:t>3</w:t>
      </w:r>
      <w:r w:rsidR="00D84595" w:rsidRPr="00813555">
        <w:rPr>
          <w:b/>
          <w:sz w:val="20"/>
          <w:szCs w:val="20"/>
          <w:lang w:val="de-DE"/>
        </w:rPr>
        <w:fldChar w:fldCharType="end"/>
      </w:r>
      <w:r w:rsidR="00A936B8" w:rsidRPr="00813555">
        <w:rPr>
          <w:b/>
          <w:sz w:val="20"/>
          <w:szCs w:val="20"/>
          <w:lang w:val="en-GB"/>
        </w:rPr>
        <w:t>:</w:t>
      </w:r>
      <w:r w:rsidRPr="00813555">
        <w:rPr>
          <w:sz w:val="20"/>
          <w:szCs w:val="20"/>
          <w:lang w:val="en-GB"/>
        </w:rPr>
        <w:t xml:space="preserve"> Normalized values of impact categories</w:t>
      </w:r>
    </w:p>
    <w:tbl>
      <w:tblPr>
        <w:tblW w:w="3034"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tblPr>
      <w:tblGrid>
        <w:gridCol w:w="2830"/>
        <w:gridCol w:w="1276"/>
        <w:gridCol w:w="1777"/>
      </w:tblGrid>
      <w:tr w:rsidR="00036004" w:rsidRPr="00813555" w:rsidTr="00EE3C72">
        <w:trPr>
          <w:trHeight w:val="272"/>
          <w:jc w:val="center"/>
        </w:trPr>
        <w:tc>
          <w:tcPr>
            <w:tcW w:w="2829" w:type="dxa"/>
            <w:tcBorders>
              <w:top w:val="single" w:sz="12" w:space="0" w:color="auto"/>
              <w:bottom w:val="single" w:sz="12" w:space="0" w:color="auto"/>
              <w:right w:val="single" w:sz="4" w:space="0" w:color="auto"/>
            </w:tcBorders>
            <w:tcMar>
              <w:left w:w="28" w:type="dxa"/>
              <w:right w:w="28" w:type="dxa"/>
            </w:tcMar>
            <w:vAlign w:val="center"/>
          </w:tcPr>
          <w:p w:rsidR="00036004" w:rsidRPr="00813555" w:rsidRDefault="00036004" w:rsidP="00A936B8">
            <w:pPr>
              <w:rPr>
                <w:sz w:val="20"/>
                <w:szCs w:val="20"/>
                <w:lang w:val="en-GB"/>
              </w:rPr>
            </w:pPr>
            <w:r w:rsidRPr="00813555">
              <w:rPr>
                <w:sz w:val="20"/>
                <w:szCs w:val="20"/>
                <w:lang w:val="en-GB"/>
              </w:rPr>
              <w:t>Impact categories</w:t>
            </w:r>
          </w:p>
        </w:tc>
        <w:tc>
          <w:tcPr>
            <w:tcW w:w="1276" w:type="dxa"/>
            <w:tcBorders>
              <w:top w:val="single" w:sz="12" w:space="0" w:color="auto"/>
              <w:left w:val="single" w:sz="4" w:space="0" w:color="auto"/>
              <w:bottom w:val="single" w:sz="12" w:space="0" w:color="auto"/>
              <w:right w:val="single" w:sz="4" w:space="0" w:color="auto"/>
            </w:tcBorders>
            <w:tcMar>
              <w:left w:w="28" w:type="dxa"/>
              <w:right w:w="28" w:type="dxa"/>
            </w:tcMar>
            <w:vAlign w:val="center"/>
          </w:tcPr>
          <w:p w:rsidR="00036004" w:rsidRPr="00813555" w:rsidRDefault="00036004" w:rsidP="00A936B8">
            <w:pPr>
              <w:rPr>
                <w:i/>
                <w:sz w:val="20"/>
                <w:szCs w:val="20"/>
                <w:lang w:val="en-GB"/>
              </w:rPr>
            </w:pPr>
            <w:r w:rsidRPr="00813555">
              <w:rPr>
                <w:sz w:val="20"/>
                <w:szCs w:val="20"/>
                <w:lang w:val="en-GB"/>
              </w:rPr>
              <w:t>Incineration</w:t>
            </w:r>
          </w:p>
        </w:tc>
        <w:tc>
          <w:tcPr>
            <w:tcW w:w="1777" w:type="dxa"/>
            <w:tcBorders>
              <w:top w:val="single" w:sz="12" w:space="0" w:color="auto"/>
              <w:left w:val="single" w:sz="4" w:space="0" w:color="auto"/>
              <w:bottom w:val="single" w:sz="12" w:space="0" w:color="auto"/>
            </w:tcBorders>
            <w:tcMar>
              <w:left w:w="28" w:type="dxa"/>
              <w:right w:w="28" w:type="dxa"/>
            </w:tcMar>
            <w:vAlign w:val="center"/>
          </w:tcPr>
          <w:p w:rsidR="00036004" w:rsidRPr="00813555" w:rsidRDefault="00036004" w:rsidP="005D496F">
            <w:pPr>
              <w:rPr>
                <w:sz w:val="20"/>
                <w:szCs w:val="20"/>
                <w:lang w:val="en-GB"/>
              </w:rPr>
            </w:pPr>
            <w:r w:rsidRPr="00813555">
              <w:rPr>
                <w:sz w:val="20"/>
                <w:szCs w:val="20"/>
                <w:lang w:val="en-GB"/>
              </w:rPr>
              <w:t>Anaerobic Digestion</w:t>
            </w:r>
            <w:r w:rsidR="005D496F" w:rsidRPr="00813555">
              <w:rPr>
                <w:sz w:val="20"/>
                <w:szCs w:val="20"/>
                <w:lang w:val="en-GB"/>
              </w:rPr>
              <w:t xml:space="preserve"> and Recycling </w:t>
            </w:r>
          </w:p>
        </w:tc>
      </w:tr>
      <w:tr w:rsidR="00036004" w:rsidRPr="00813555" w:rsidTr="00EE3C72">
        <w:trPr>
          <w:trHeight w:val="272"/>
          <w:jc w:val="center"/>
        </w:trPr>
        <w:tc>
          <w:tcPr>
            <w:tcW w:w="2829" w:type="dxa"/>
            <w:tcBorders>
              <w:top w:val="single" w:sz="12" w:space="0" w:color="auto"/>
              <w:bottom w:val="single" w:sz="4" w:space="0" w:color="auto"/>
              <w:right w:val="single" w:sz="4" w:space="0" w:color="auto"/>
            </w:tcBorders>
            <w:tcMar>
              <w:left w:w="28" w:type="dxa"/>
              <w:right w:w="28" w:type="dxa"/>
            </w:tcMar>
            <w:vAlign w:val="center"/>
          </w:tcPr>
          <w:p w:rsidR="00036004" w:rsidRPr="00813555" w:rsidRDefault="00036004" w:rsidP="00A936B8">
            <w:pPr>
              <w:rPr>
                <w:sz w:val="20"/>
                <w:szCs w:val="20"/>
                <w:lang w:val="en-GB"/>
              </w:rPr>
            </w:pPr>
            <w:r w:rsidRPr="00813555">
              <w:rPr>
                <w:sz w:val="20"/>
                <w:szCs w:val="20"/>
              </w:rPr>
              <w:t>Abiotic depletion (ADP)</w:t>
            </w:r>
          </w:p>
        </w:tc>
        <w:tc>
          <w:tcPr>
            <w:tcW w:w="1276" w:type="dxa"/>
            <w:tcBorders>
              <w:top w:val="single" w:sz="12" w:space="0" w:color="auto"/>
              <w:left w:val="single" w:sz="4" w:space="0" w:color="auto"/>
              <w:bottom w:val="single" w:sz="4" w:space="0" w:color="auto"/>
              <w:right w:val="single" w:sz="4" w:space="0" w:color="auto"/>
            </w:tcBorders>
            <w:vAlign w:val="center"/>
          </w:tcPr>
          <w:p w:rsidR="00036004" w:rsidRPr="00813555" w:rsidRDefault="00036004" w:rsidP="00A936B8">
            <w:pPr>
              <w:rPr>
                <w:sz w:val="20"/>
                <w:szCs w:val="20"/>
                <w:lang w:val="en-GB"/>
              </w:rPr>
            </w:pPr>
            <w:r w:rsidRPr="00813555">
              <w:rPr>
                <w:sz w:val="20"/>
                <w:szCs w:val="20"/>
                <w:lang w:val="en-GB"/>
              </w:rPr>
              <w:t>0.0142</w:t>
            </w:r>
          </w:p>
        </w:tc>
        <w:tc>
          <w:tcPr>
            <w:tcW w:w="1777" w:type="dxa"/>
            <w:tcBorders>
              <w:top w:val="single" w:sz="12" w:space="0" w:color="auto"/>
              <w:left w:val="single" w:sz="4" w:space="0" w:color="auto"/>
              <w:bottom w:val="single" w:sz="4" w:space="0" w:color="auto"/>
            </w:tcBorders>
            <w:vAlign w:val="center"/>
          </w:tcPr>
          <w:p w:rsidR="00036004" w:rsidRPr="00813555" w:rsidRDefault="00036004" w:rsidP="00A936B8">
            <w:pPr>
              <w:rPr>
                <w:sz w:val="20"/>
                <w:szCs w:val="20"/>
                <w:lang w:val="en-GB"/>
              </w:rPr>
            </w:pPr>
            <w:r w:rsidRPr="00813555">
              <w:rPr>
                <w:sz w:val="20"/>
                <w:szCs w:val="20"/>
                <w:lang w:val="en-GB"/>
              </w:rPr>
              <w:t>-0.00000078</w:t>
            </w:r>
          </w:p>
        </w:tc>
      </w:tr>
      <w:tr w:rsidR="00036004" w:rsidRPr="00813555" w:rsidTr="00EE3C72">
        <w:trPr>
          <w:trHeight w:val="288"/>
          <w:jc w:val="center"/>
        </w:trPr>
        <w:tc>
          <w:tcPr>
            <w:tcW w:w="2829" w:type="dxa"/>
            <w:tcBorders>
              <w:top w:val="single" w:sz="4" w:space="0" w:color="auto"/>
              <w:bottom w:val="single" w:sz="4" w:space="0" w:color="auto"/>
              <w:right w:val="single" w:sz="4" w:space="0" w:color="auto"/>
            </w:tcBorders>
            <w:tcMar>
              <w:left w:w="28" w:type="dxa"/>
              <w:right w:w="28" w:type="dxa"/>
            </w:tcMar>
            <w:vAlign w:val="center"/>
          </w:tcPr>
          <w:p w:rsidR="00036004" w:rsidRPr="00813555" w:rsidRDefault="00036004" w:rsidP="00A936B8">
            <w:pPr>
              <w:rPr>
                <w:sz w:val="20"/>
                <w:szCs w:val="20"/>
                <w:lang w:val="en-GB"/>
              </w:rPr>
            </w:pPr>
            <w:r w:rsidRPr="00813555">
              <w:rPr>
                <w:sz w:val="20"/>
                <w:szCs w:val="20"/>
              </w:rPr>
              <w:t>Global warming (GWP100)</w:t>
            </w:r>
          </w:p>
        </w:tc>
        <w:tc>
          <w:tcPr>
            <w:tcW w:w="1276" w:type="dxa"/>
            <w:tcBorders>
              <w:top w:val="single" w:sz="4" w:space="0" w:color="auto"/>
              <w:left w:val="single" w:sz="4" w:space="0" w:color="auto"/>
              <w:bottom w:val="single" w:sz="4" w:space="0" w:color="auto"/>
              <w:right w:val="single" w:sz="4" w:space="0" w:color="auto"/>
            </w:tcBorders>
            <w:vAlign w:val="center"/>
          </w:tcPr>
          <w:p w:rsidR="00036004" w:rsidRPr="00813555" w:rsidRDefault="00036004" w:rsidP="00A936B8">
            <w:pPr>
              <w:rPr>
                <w:sz w:val="20"/>
                <w:szCs w:val="20"/>
                <w:lang w:val="en-GB"/>
              </w:rPr>
            </w:pPr>
            <w:r w:rsidRPr="00813555">
              <w:rPr>
                <w:sz w:val="20"/>
                <w:szCs w:val="20"/>
                <w:lang w:val="en-GB"/>
              </w:rPr>
              <w:t>2.3000</w:t>
            </w:r>
          </w:p>
        </w:tc>
        <w:tc>
          <w:tcPr>
            <w:tcW w:w="1777" w:type="dxa"/>
            <w:tcBorders>
              <w:top w:val="single" w:sz="4" w:space="0" w:color="auto"/>
              <w:left w:val="single" w:sz="4" w:space="0" w:color="auto"/>
              <w:bottom w:val="single" w:sz="4" w:space="0" w:color="auto"/>
            </w:tcBorders>
            <w:vAlign w:val="center"/>
          </w:tcPr>
          <w:p w:rsidR="00036004" w:rsidRPr="00813555" w:rsidRDefault="00036004" w:rsidP="00A936B8">
            <w:pPr>
              <w:rPr>
                <w:sz w:val="20"/>
                <w:szCs w:val="20"/>
                <w:lang w:val="en-GB"/>
              </w:rPr>
            </w:pPr>
            <w:r w:rsidRPr="00813555">
              <w:rPr>
                <w:sz w:val="20"/>
                <w:szCs w:val="20"/>
                <w:lang w:val="en-GB"/>
              </w:rPr>
              <w:t>0.0328</w:t>
            </w:r>
          </w:p>
        </w:tc>
      </w:tr>
      <w:tr w:rsidR="00036004" w:rsidRPr="00813555" w:rsidTr="00EE3C72">
        <w:trPr>
          <w:trHeight w:val="272"/>
          <w:jc w:val="center"/>
        </w:trPr>
        <w:tc>
          <w:tcPr>
            <w:tcW w:w="2829" w:type="dxa"/>
            <w:tcBorders>
              <w:top w:val="single" w:sz="4" w:space="0" w:color="auto"/>
              <w:bottom w:val="single" w:sz="4" w:space="0" w:color="auto"/>
              <w:right w:val="single" w:sz="4" w:space="0" w:color="auto"/>
            </w:tcBorders>
            <w:tcMar>
              <w:left w:w="28" w:type="dxa"/>
              <w:right w:w="28" w:type="dxa"/>
            </w:tcMar>
            <w:vAlign w:val="center"/>
          </w:tcPr>
          <w:p w:rsidR="00036004" w:rsidRPr="00813555" w:rsidRDefault="00036004" w:rsidP="00A936B8">
            <w:pPr>
              <w:rPr>
                <w:sz w:val="20"/>
                <w:szCs w:val="20"/>
                <w:lang w:val="en-GB"/>
              </w:rPr>
            </w:pPr>
            <w:r w:rsidRPr="00813555">
              <w:rPr>
                <w:sz w:val="20"/>
                <w:szCs w:val="20"/>
              </w:rPr>
              <w:t>Human toxicity (HTP)</w:t>
            </w:r>
          </w:p>
        </w:tc>
        <w:tc>
          <w:tcPr>
            <w:tcW w:w="1276" w:type="dxa"/>
            <w:tcBorders>
              <w:top w:val="single" w:sz="4" w:space="0" w:color="auto"/>
              <w:left w:val="single" w:sz="4" w:space="0" w:color="auto"/>
              <w:bottom w:val="single" w:sz="4" w:space="0" w:color="auto"/>
              <w:right w:val="single" w:sz="4" w:space="0" w:color="auto"/>
            </w:tcBorders>
            <w:vAlign w:val="center"/>
          </w:tcPr>
          <w:p w:rsidR="00036004" w:rsidRPr="00813555" w:rsidRDefault="00036004" w:rsidP="00A936B8">
            <w:pPr>
              <w:rPr>
                <w:sz w:val="20"/>
                <w:szCs w:val="20"/>
                <w:lang w:val="en-GB"/>
              </w:rPr>
            </w:pPr>
            <w:r w:rsidRPr="00813555">
              <w:rPr>
                <w:sz w:val="20"/>
                <w:szCs w:val="20"/>
                <w:lang w:val="en-GB"/>
              </w:rPr>
              <w:t>0.0352</w:t>
            </w:r>
          </w:p>
        </w:tc>
        <w:tc>
          <w:tcPr>
            <w:tcW w:w="1777" w:type="dxa"/>
            <w:tcBorders>
              <w:top w:val="single" w:sz="4" w:space="0" w:color="auto"/>
              <w:left w:val="single" w:sz="4" w:space="0" w:color="auto"/>
              <w:bottom w:val="single" w:sz="4" w:space="0" w:color="auto"/>
            </w:tcBorders>
            <w:vAlign w:val="center"/>
          </w:tcPr>
          <w:p w:rsidR="00036004" w:rsidRPr="00813555" w:rsidRDefault="00036004" w:rsidP="00A936B8">
            <w:pPr>
              <w:rPr>
                <w:sz w:val="20"/>
                <w:szCs w:val="20"/>
                <w:lang w:val="en-GB"/>
              </w:rPr>
            </w:pPr>
            <w:r w:rsidRPr="00813555">
              <w:rPr>
                <w:sz w:val="20"/>
                <w:szCs w:val="20"/>
                <w:lang w:val="en-GB"/>
              </w:rPr>
              <w:t>0.0356</w:t>
            </w:r>
          </w:p>
        </w:tc>
      </w:tr>
      <w:tr w:rsidR="00036004" w:rsidRPr="00813555" w:rsidTr="00EE3C72">
        <w:trPr>
          <w:trHeight w:val="272"/>
          <w:jc w:val="center"/>
        </w:trPr>
        <w:tc>
          <w:tcPr>
            <w:tcW w:w="2829" w:type="dxa"/>
            <w:tcBorders>
              <w:top w:val="single" w:sz="4" w:space="0" w:color="auto"/>
              <w:bottom w:val="single" w:sz="4" w:space="0" w:color="auto"/>
              <w:right w:val="single" w:sz="4" w:space="0" w:color="auto"/>
            </w:tcBorders>
            <w:tcMar>
              <w:left w:w="28" w:type="dxa"/>
              <w:right w:w="28" w:type="dxa"/>
            </w:tcMar>
            <w:vAlign w:val="center"/>
          </w:tcPr>
          <w:p w:rsidR="00036004" w:rsidRPr="00813555" w:rsidRDefault="00036004" w:rsidP="00A936B8">
            <w:pPr>
              <w:rPr>
                <w:sz w:val="20"/>
                <w:szCs w:val="20"/>
                <w:lang w:val="en-GB"/>
              </w:rPr>
            </w:pPr>
            <w:r w:rsidRPr="00813555">
              <w:rPr>
                <w:sz w:val="20"/>
                <w:szCs w:val="20"/>
              </w:rPr>
              <w:t>Photochemical oxidation (POCP)</w:t>
            </w:r>
          </w:p>
        </w:tc>
        <w:tc>
          <w:tcPr>
            <w:tcW w:w="1276" w:type="dxa"/>
            <w:tcBorders>
              <w:top w:val="single" w:sz="4" w:space="0" w:color="auto"/>
              <w:left w:val="single" w:sz="4" w:space="0" w:color="auto"/>
              <w:bottom w:val="single" w:sz="4" w:space="0" w:color="auto"/>
              <w:right w:val="single" w:sz="4" w:space="0" w:color="auto"/>
            </w:tcBorders>
            <w:vAlign w:val="center"/>
          </w:tcPr>
          <w:p w:rsidR="00036004" w:rsidRPr="00813555" w:rsidRDefault="00036004" w:rsidP="00A936B8">
            <w:pPr>
              <w:rPr>
                <w:sz w:val="20"/>
                <w:szCs w:val="20"/>
                <w:lang w:val="en-GB"/>
              </w:rPr>
            </w:pPr>
            <w:r w:rsidRPr="00813555">
              <w:rPr>
                <w:sz w:val="20"/>
                <w:szCs w:val="20"/>
                <w:lang w:val="en-GB"/>
              </w:rPr>
              <w:t>0.0073</w:t>
            </w:r>
          </w:p>
        </w:tc>
        <w:tc>
          <w:tcPr>
            <w:tcW w:w="1777" w:type="dxa"/>
            <w:tcBorders>
              <w:top w:val="single" w:sz="4" w:space="0" w:color="auto"/>
              <w:left w:val="single" w:sz="4" w:space="0" w:color="auto"/>
              <w:bottom w:val="single" w:sz="4" w:space="0" w:color="auto"/>
            </w:tcBorders>
            <w:vAlign w:val="center"/>
          </w:tcPr>
          <w:p w:rsidR="00036004" w:rsidRPr="00813555" w:rsidRDefault="00036004" w:rsidP="00A936B8">
            <w:pPr>
              <w:rPr>
                <w:sz w:val="20"/>
                <w:szCs w:val="20"/>
                <w:lang w:val="en-GB"/>
              </w:rPr>
            </w:pPr>
            <w:r w:rsidRPr="00813555">
              <w:rPr>
                <w:sz w:val="20"/>
                <w:szCs w:val="20"/>
                <w:lang w:val="en-GB"/>
              </w:rPr>
              <w:t>0.0466</w:t>
            </w:r>
          </w:p>
        </w:tc>
      </w:tr>
      <w:tr w:rsidR="00036004" w:rsidRPr="00813555" w:rsidTr="00EE3C72">
        <w:trPr>
          <w:trHeight w:val="272"/>
          <w:jc w:val="center"/>
        </w:trPr>
        <w:tc>
          <w:tcPr>
            <w:tcW w:w="2829" w:type="dxa"/>
            <w:tcBorders>
              <w:top w:val="single" w:sz="4" w:space="0" w:color="auto"/>
              <w:bottom w:val="single" w:sz="4" w:space="0" w:color="auto"/>
              <w:right w:val="single" w:sz="4" w:space="0" w:color="auto"/>
            </w:tcBorders>
            <w:tcMar>
              <w:left w:w="28" w:type="dxa"/>
              <w:right w:w="28" w:type="dxa"/>
            </w:tcMar>
            <w:vAlign w:val="center"/>
          </w:tcPr>
          <w:p w:rsidR="00036004" w:rsidRPr="00813555" w:rsidRDefault="00036004" w:rsidP="00A936B8">
            <w:pPr>
              <w:rPr>
                <w:sz w:val="20"/>
                <w:szCs w:val="20"/>
                <w:lang w:val="en-GB"/>
              </w:rPr>
            </w:pPr>
            <w:r w:rsidRPr="00813555">
              <w:rPr>
                <w:sz w:val="20"/>
                <w:szCs w:val="20"/>
              </w:rPr>
              <w:t>Acidification (AP)</w:t>
            </w:r>
          </w:p>
        </w:tc>
        <w:tc>
          <w:tcPr>
            <w:tcW w:w="1276" w:type="dxa"/>
            <w:tcBorders>
              <w:top w:val="single" w:sz="4" w:space="0" w:color="auto"/>
              <w:left w:val="single" w:sz="4" w:space="0" w:color="auto"/>
              <w:bottom w:val="single" w:sz="4" w:space="0" w:color="auto"/>
              <w:right w:val="single" w:sz="4" w:space="0" w:color="auto"/>
            </w:tcBorders>
            <w:vAlign w:val="center"/>
          </w:tcPr>
          <w:p w:rsidR="00036004" w:rsidRPr="00813555" w:rsidRDefault="00036004" w:rsidP="00A936B8">
            <w:pPr>
              <w:rPr>
                <w:sz w:val="20"/>
                <w:szCs w:val="20"/>
                <w:lang w:val="en-GB"/>
              </w:rPr>
            </w:pPr>
            <w:r w:rsidRPr="00813555">
              <w:rPr>
                <w:sz w:val="20"/>
                <w:szCs w:val="20"/>
                <w:lang w:val="en-GB"/>
              </w:rPr>
              <w:t>0.2530</w:t>
            </w:r>
          </w:p>
        </w:tc>
        <w:tc>
          <w:tcPr>
            <w:tcW w:w="1777" w:type="dxa"/>
            <w:tcBorders>
              <w:top w:val="single" w:sz="4" w:space="0" w:color="auto"/>
              <w:left w:val="single" w:sz="4" w:space="0" w:color="auto"/>
              <w:bottom w:val="single" w:sz="4" w:space="0" w:color="auto"/>
            </w:tcBorders>
            <w:vAlign w:val="center"/>
          </w:tcPr>
          <w:p w:rsidR="00036004" w:rsidRPr="00813555" w:rsidRDefault="00036004" w:rsidP="00A936B8">
            <w:pPr>
              <w:rPr>
                <w:sz w:val="20"/>
                <w:szCs w:val="20"/>
                <w:lang w:val="en-GB"/>
              </w:rPr>
            </w:pPr>
            <w:r w:rsidRPr="00813555">
              <w:rPr>
                <w:sz w:val="20"/>
                <w:szCs w:val="20"/>
                <w:lang w:val="en-GB"/>
              </w:rPr>
              <w:t>0.1930</w:t>
            </w:r>
          </w:p>
        </w:tc>
      </w:tr>
      <w:tr w:rsidR="00036004" w:rsidRPr="00813555" w:rsidTr="00EE3C72">
        <w:trPr>
          <w:trHeight w:val="288"/>
          <w:jc w:val="center"/>
        </w:trPr>
        <w:tc>
          <w:tcPr>
            <w:tcW w:w="2829" w:type="dxa"/>
            <w:tcBorders>
              <w:top w:val="single" w:sz="4" w:space="0" w:color="auto"/>
              <w:bottom w:val="single" w:sz="12" w:space="0" w:color="auto"/>
              <w:right w:val="single" w:sz="4" w:space="0" w:color="auto"/>
            </w:tcBorders>
            <w:tcMar>
              <w:left w:w="28" w:type="dxa"/>
              <w:right w:w="28" w:type="dxa"/>
            </w:tcMar>
            <w:vAlign w:val="center"/>
          </w:tcPr>
          <w:p w:rsidR="00036004" w:rsidRPr="00813555" w:rsidRDefault="00036004" w:rsidP="00A936B8">
            <w:pPr>
              <w:rPr>
                <w:sz w:val="20"/>
                <w:szCs w:val="20"/>
                <w:lang w:val="en-GB"/>
              </w:rPr>
            </w:pPr>
            <w:r w:rsidRPr="00813555">
              <w:rPr>
                <w:sz w:val="20"/>
                <w:szCs w:val="20"/>
              </w:rPr>
              <w:t>Eutrophication (EP)</w:t>
            </w:r>
          </w:p>
        </w:tc>
        <w:tc>
          <w:tcPr>
            <w:tcW w:w="1276" w:type="dxa"/>
            <w:tcBorders>
              <w:top w:val="single" w:sz="4" w:space="0" w:color="auto"/>
              <w:left w:val="single" w:sz="4" w:space="0" w:color="auto"/>
              <w:bottom w:val="single" w:sz="12" w:space="0" w:color="auto"/>
              <w:right w:val="single" w:sz="4" w:space="0" w:color="auto"/>
            </w:tcBorders>
            <w:vAlign w:val="center"/>
          </w:tcPr>
          <w:p w:rsidR="00036004" w:rsidRPr="00813555" w:rsidRDefault="00036004" w:rsidP="00A936B8">
            <w:pPr>
              <w:rPr>
                <w:sz w:val="20"/>
                <w:szCs w:val="20"/>
                <w:lang w:val="en-GB"/>
              </w:rPr>
            </w:pPr>
            <w:r w:rsidRPr="00813555">
              <w:rPr>
                <w:sz w:val="20"/>
                <w:szCs w:val="20"/>
                <w:lang w:val="en-GB"/>
              </w:rPr>
              <w:t>0.1420</w:t>
            </w:r>
          </w:p>
        </w:tc>
        <w:tc>
          <w:tcPr>
            <w:tcW w:w="1777" w:type="dxa"/>
            <w:tcBorders>
              <w:top w:val="single" w:sz="4" w:space="0" w:color="auto"/>
              <w:left w:val="single" w:sz="4" w:space="0" w:color="auto"/>
              <w:bottom w:val="single" w:sz="12" w:space="0" w:color="auto"/>
            </w:tcBorders>
            <w:vAlign w:val="center"/>
          </w:tcPr>
          <w:p w:rsidR="00036004" w:rsidRPr="00813555" w:rsidRDefault="00036004" w:rsidP="00A936B8">
            <w:pPr>
              <w:rPr>
                <w:sz w:val="20"/>
                <w:szCs w:val="20"/>
                <w:lang w:val="en-GB"/>
              </w:rPr>
            </w:pPr>
            <w:r w:rsidRPr="00813555">
              <w:rPr>
                <w:sz w:val="20"/>
                <w:szCs w:val="20"/>
                <w:lang w:val="en-GB"/>
              </w:rPr>
              <w:t>0.0824</w:t>
            </w:r>
          </w:p>
        </w:tc>
      </w:tr>
    </w:tbl>
    <w:p w:rsidR="00F72C5D" w:rsidRPr="00813555" w:rsidRDefault="00F72C5D" w:rsidP="00F72C5D">
      <w:pPr>
        <w:jc w:val="both"/>
        <w:rPr>
          <w:sz w:val="20"/>
          <w:szCs w:val="20"/>
        </w:rPr>
      </w:pPr>
    </w:p>
    <w:p w:rsidR="00F72C5D" w:rsidRPr="009B5EBE" w:rsidRDefault="00F72C5D" w:rsidP="00F72C5D">
      <w:pPr>
        <w:jc w:val="both"/>
        <w:rPr>
          <w:color w:val="FF0000"/>
          <w:sz w:val="20"/>
          <w:szCs w:val="20"/>
        </w:rPr>
      </w:pPr>
      <w:r w:rsidRPr="00503930">
        <w:rPr>
          <w:sz w:val="20"/>
          <w:szCs w:val="20"/>
        </w:rPr>
        <w:t xml:space="preserve">According to the obtained results of life cycle impact assessment, the Scenario </w:t>
      </w:r>
      <w:r w:rsidR="00503930" w:rsidRPr="00503930">
        <w:rPr>
          <w:sz w:val="20"/>
          <w:szCs w:val="20"/>
        </w:rPr>
        <w:t>2</w:t>
      </w:r>
      <w:r w:rsidRPr="00503930">
        <w:rPr>
          <w:sz w:val="20"/>
          <w:szCs w:val="20"/>
        </w:rPr>
        <w:t xml:space="preserve"> </w:t>
      </w:r>
      <w:r w:rsidR="00EA0280">
        <w:rPr>
          <w:sz w:val="20"/>
          <w:szCs w:val="20"/>
        </w:rPr>
        <w:t>(</w:t>
      </w:r>
      <w:r w:rsidR="00EA0280" w:rsidRPr="00813555">
        <w:rPr>
          <w:sz w:val="20"/>
          <w:szCs w:val="20"/>
          <w:lang w:val="en-GB"/>
        </w:rPr>
        <w:t>Anaerobic Digestion</w:t>
      </w:r>
      <w:r w:rsidR="00EA0280">
        <w:rPr>
          <w:sz w:val="20"/>
          <w:szCs w:val="20"/>
          <w:lang w:val="en-GB"/>
        </w:rPr>
        <w:t xml:space="preserve"> and Recycling) </w:t>
      </w:r>
      <w:r w:rsidRPr="00503930">
        <w:rPr>
          <w:sz w:val="20"/>
          <w:szCs w:val="20"/>
        </w:rPr>
        <w:t>contribute</w:t>
      </w:r>
      <w:r w:rsidR="00EA0280">
        <w:rPr>
          <w:sz w:val="20"/>
          <w:szCs w:val="20"/>
        </w:rPr>
        <w:t>s</w:t>
      </w:r>
      <w:r w:rsidRPr="00503930">
        <w:rPr>
          <w:sz w:val="20"/>
          <w:szCs w:val="20"/>
        </w:rPr>
        <w:t xml:space="preserve"> to savi</w:t>
      </w:r>
      <w:r w:rsidR="00021BF5">
        <w:rPr>
          <w:sz w:val="20"/>
          <w:szCs w:val="20"/>
        </w:rPr>
        <w:t>ngs in abiotic depletion, and it is</w:t>
      </w:r>
      <w:r w:rsidRPr="00503930">
        <w:rPr>
          <w:sz w:val="20"/>
          <w:szCs w:val="20"/>
        </w:rPr>
        <w:t xml:space="preserve"> the preferable in term of abiotic depletion potential (</w:t>
      </w:r>
      <w:r w:rsidR="00503930" w:rsidRPr="00503930">
        <w:rPr>
          <w:sz w:val="20"/>
          <w:szCs w:val="20"/>
          <w:lang w:val="en-GB"/>
        </w:rPr>
        <w:t xml:space="preserve">-0.00000078 </w:t>
      </w:r>
      <w:r w:rsidRPr="00503930">
        <w:rPr>
          <w:sz w:val="20"/>
          <w:szCs w:val="20"/>
        </w:rPr>
        <w:t xml:space="preserve">IE). Scenario </w:t>
      </w:r>
      <w:r w:rsidR="00503930" w:rsidRPr="00503930">
        <w:rPr>
          <w:sz w:val="20"/>
          <w:szCs w:val="20"/>
        </w:rPr>
        <w:t>1</w:t>
      </w:r>
      <w:r w:rsidRPr="00503930">
        <w:rPr>
          <w:sz w:val="20"/>
          <w:szCs w:val="20"/>
        </w:rPr>
        <w:t xml:space="preserve"> </w:t>
      </w:r>
      <w:r w:rsidR="00EA0280">
        <w:rPr>
          <w:sz w:val="20"/>
          <w:szCs w:val="20"/>
        </w:rPr>
        <w:t xml:space="preserve">(Incineration) </w:t>
      </w:r>
      <w:r w:rsidRPr="00503930">
        <w:rPr>
          <w:sz w:val="20"/>
          <w:szCs w:val="20"/>
        </w:rPr>
        <w:t xml:space="preserve">is </w:t>
      </w:r>
      <w:r w:rsidR="00EA0280">
        <w:rPr>
          <w:sz w:val="20"/>
          <w:szCs w:val="20"/>
        </w:rPr>
        <w:t>bigger</w:t>
      </w:r>
      <w:r w:rsidRPr="00503930">
        <w:rPr>
          <w:sz w:val="20"/>
          <w:szCs w:val="20"/>
        </w:rPr>
        <w:t xml:space="preserve"> contributor to the greenhouse effect (2.30 IE): the CO</w:t>
      </w:r>
      <w:r w:rsidRPr="00503930">
        <w:rPr>
          <w:sz w:val="20"/>
          <w:szCs w:val="20"/>
          <w:vertAlign w:val="subscript"/>
        </w:rPr>
        <w:t>2</w:t>
      </w:r>
      <w:r w:rsidRPr="00503930">
        <w:rPr>
          <w:sz w:val="20"/>
          <w:szCs w:val="20"/>
        </w:rPr>
        <w:t xml:space="preserve"> emissions of the incinerators dominate the contribution of the system. It means that the foreground system (main process) generated was greater global warming potential than that generated by background system (electricity production).</w:t>
      </w:r>
      <w:r w:rsidRPr="009B5EBE">
        <w:rPr>
          <w:color w:val="FF0000"/>
          <w:sz w:val="20"/>
          <w:szCs w:val="20"/>
        </w:rPr>
        <w:t xml:space="preserve"> </w:t>
      </w:r>
      <w:r w:rsidRPr="00503930">
        <w:rPr>
          <w:sz w:val="20"/>
          <w:szCs w:val="20"/>
        </w:rPr>
        <w:t xml:space="preserve">When the focus is only on GWP, Scenario </w:t>
      </w:r>
      <w:r w:rsidR="00021BF5">
        <w:rPr>
          <w:sz w:val="20"/>
          <w:szCs w:val="20"/>
        </w:rPr>
        <w:t>2</w:t>
      </w:r>
      <w:r w:rsidRPr="00503930">
        <w:rPr>
          <w:sz w:val="20"/>
          <w:szCs w:val="20"/>
        </w:rPr>
        <w:t xml:space="preserve"> would be </w:t>
      </w:r>
      <w:r w:rsidR="00EA0280">
        <w:rPr>
          <w:sz w:val="20"/>
          <w:szCs w:val="20"/>
        </w:rPr>
        <w:t>better</w:t>
      </w:r>
      <w:r w:rsidRPr="00503930">
        <w:rPr>
          <w:sz w:val="20"/>
          <w:szCs w:val="20"/>
        </w:rPr>
        <w:t xml:space="preserve"> choice with the lowest global warming potential (0.03</w:t>
      </w:r>
      <w:r w:rsidR="00503930">
        <w:rPr>
          <w:sz w:val="20"/>
          <w:szCs w:val="20"/>
        </w:rPr>
        <w:t>28</w:t>
      </w:r>
      <w:r w:rsidRPr="00503930">
        <w:rPr>
          <w:sz w:val="20"/>
          <w:szCs w:val="20"/>
        </w:rPr>
        <w:t xml:space="preserve"> IE).</w:t>
      </w:r>
    </w:p>
    <w:p w:rsidR="004C6E7E" w:rsidRPr="006D08EE" w:rsidRDefault="00F72C5D" w:rsidP="00F72C5D">
      <w:pPr>
        <w:jc w:val="both"/>
        <w:rPr>
          <w:sz w:val="20"/>
          <w:szCs w:val="20"/>
        </w:rPr>
      </w:pPr>
      <w:r w:rsidRPr="001548C7">
        <w:rPr>
          <w:sz w:val="20"/>
          <w:szCs w:val="20"/>
        </w:rPr>
        <w:t xml:space="preserve">The analysis of toxicity categories shows the </w:t>
      </w:r>
      <w:r w:rsidR="001548C7" w:rsidRPr="001548C7">
        <w:rPr>
          <w:sz w:val="20"/>
          <w:szCs w:val="20"/>
        </w:rPr>
        <w:t>similar</w:t>
      </w:r>
      <w:r w:rsidRPr="001548C7">
        <w:rPr>
          <w:sz w:val="20"/>
          <w:szCs w:val="20"/>
        </w:rPr>
        <w:t xml:space="preserve"> contribution of emissions</w:t>
      </w:r>
      <w:r w:rsidR="001548C7" w:rsidRPr="001548C7">
        <w:rPr>
          <w:sz w:val="20"/>
          <w:szCs w:val="20"/>
        </w:rPr>
        <w:t xml:space="preserve"> in both scenarios.</w:t>
      </w:r>
      <w:r w:rsidRPr="009B5EBE">
        <w:rPr>
          <w:color w:val="FF0000"/>
          <w:sz w:val="20"/>
          <w:szCs w:val="20"/>
        </w:rPr>
        <w:t xml:space="preserve"> </w:t>
      </w:r>
      <w:r w:rsidRPr="008D0FC6">
        <w:rPr>
          <w:sz w:val="20"/>
          <w:szCs w:val="20"/>
        </w:rPr>
        <w:t>Scenario 2 indicates the bigge</w:t>
      </w:r>
      <w:r w:rsidR="008D0FC6" w:rsidRPr="008D0FC6">
        <w:rPr>
          <w:sz w:val="20"/>
          <w:szCs w:val="20"/>
        </w:rPr>
        <w:t>r</w:t>
      </w:r>
      <w:r w:rsidRPr="008D0FC6">
        <w:rPr>
          <w:sz w:val="20"/>
          <w:szCs w:val="20"/>
        </w:rPr>
        <w:t xml:space="preserve"> contribution for photochemical oxidant formation. It is particularly contributed by the </w:t>
      </w:r>
      <w:r w:rsidR="008D0FC6" w:rsidRPr="008D0FC6">
        <w:rPr>
          <w:sz w:val="20"/>
          <w:szCs w:val="20"/>
        </w:rPr>
        <w:t>organic waste decomposition</w:t>
      </w:r>
      <w:r w:rsidRPr="008D0FC6">
        <w:rPr>
          <w:sz w:val="20"/>
          <w:szCs w:val="20"/>
        </w:rPr>
        <w:t>. The impacts of the system in photochemical oxidation are mainly due to CH</w:t>
      </w:r>
      <w:r w:rsidRPr="008D0FC6">
        <w:rPr>
          <w:sz w:val="20"/>
          <w:szCs w:val="20"/>
          <w:vertAlign w:val="subscript"/>
        </w:rPr>
        <w:t>4</w:t>
      </w:r>
      <w:r w:rsidRPr="008D0FC6">
        <w:rPr>
          <w:sz w:val="20"/>
          <w:szCs w:val="20"/>
        </w:rPr>
        <w:t xml:space="preserve"> and NMVOC emissions. </w:t>
      </w:r>
      <w:r w:rsidR="008D0FC6" w:rsidRPr="008D0FC6">
        <w:rPr>
          <w:sz w:val="20"/>
          <w:szCs w:val="20"/>
        </w:rPr>
        <w:t>Scenario 1</w:t>
      </w:r>
      <w:r w:rsidRPr="008D0FC6">
        <w:rPr>
          <w:sz w:val="20"/>
          <w:szCs w:val="20"/>
        </w:rPr>
        <w:t xml:space="preserve"> is the preferable in term of photochemical oxidation potential (0.0073 IE). </w:t>
      </w:r>
      <w:r w:rsidR="008D0FC6" w:rsidRPr="008D0FC6">
        <w:rPr>
          <w:sz w:val="20"/>
          <w:szCs w:val="20"/>
        </w:rPr>
        <w:t>Both s</w:t>
      </w:r>
      <w:r w:rsidRPr="008D0FC6">
        <w:rPr>
          <w:sz w:val="20"/>
          <w:szCs w:val="20"/>
        </w:rPr>
        <w:t>cenario</w:t>
      </w:r>
      <w:r w:rsidR="008D0FC6" w:rsidRPr="008D0FC6">
        <w:rPr>
          <w:sz w:val="20"/>
          <w:szCs w:val="20"/>
        </w:rPr>
        <w:t>s</w:t>
      </w:r>
      <w:r w:rsidRPr="008D0FC6">
        <w:rPr>
          <w:sz w:val="20"/>
          <w:szCs w:val="20"/>
        </w:rPr>
        <w:t xml:space="preserve"> are contributors for acidification due to NO</w:t>
      </w:r>
      <w:r w:rsidRPr="008D0FC6">
        <w:rPr>
          <w:sz w:val="20"/>
          <w:szCs w:val="20"/>
          <w:vertAlign w:val="subscript"/>
        </w:rPr>
        <w:t>x</w:t>
      </w:r>
      <w:r w:rsidRPr="008D0FC6">
        <w:rPr>
          <w:sz w:val="20"/>
          <w:szCs w:val="20"/>
        </w:rPr>
        <w:t>, SO</w:t>
      </w:r>
      <w:r w:rsidRPr="008D0FC6">
        <w:rPr>
          <w:sz w:val="20"/>
          <w:szCs w:val="20"/>
          <w:vertAlign w:val="subscript"/>
        </w:rPr>
        <w:t>2</w:t>
      </w:r>
      <w:r w:rsidR="008D0FC6" w:rsidRPr="008D0FC6">
        <w:rPr>
          <w:sz w:val="20"/>
          <w:szCs w:val="20"/>
        </w:rPr>
        <w:t>, HCl and HF emissions</w:t>
      </w:r>
      <w:r w:rsidRPr="008D0FC6">
        <w:rPr>
          <w:sz w:val="20"/>
          <w:szCs w:val="20"/>
        </w:rPr>
        <w:t>. It means, acidification potential from electricity production could offset the main processes resulting in high value of impact indicator. The release into the environment of NO</w:t>
      </w:r>
      <w:r w:rsidRPr="008D0FC6">
        <w:rPr>
          <w:sz w:val="20"/>
          <w:szCs w:val="20"/>
          <w:vertAlign w:val="subscript"/>
        </w:rPr>
        <w:t>3-</w:t>
      </w:r>
      <w:r w:rsidRPr="008D0FC6">
        <w:rPr>
          <w:sz w:val="20"/>
          <w:szCs w:val="20"/>
        </w:rPr>
        <w:t xml:space="preserve"> and NH</w:t>
      </w:r>
      <w:r w:rsidRPr="008D0FC6">
        <w:rPr>
          <w:sz w:val="20"/>
          <w:szCs w:val="20"/>
          <w:vertAlign w:val="subscript"/>
        </w:rPr>
        <w:t>3</w:t>
      </w:r>
      <w:r w:rsidR="008D0FC6" w:rsidRPr="008D0FC6">
        <w:rPr>
          <w:sz w:val="20"/>
          <w:szCs w:val="20"/>
        </w:rPr>
        <w:t xml:space="preserve"> contained in the leachate and wastewater</w:t>
      </w:r>
      <w:r w:rsidRPr="008D0FC6">
        <w:rPr>
          <w:sz w:val="20"/>
          <w:szCs w:val="20"/>
        </w:rPr>
        <w:t>, even if treated in a wastewater treatment plant, represents the biggest contribut</w:t>
      </w:r>
      <w:r w:rsidR="008D0FC6" w:rsidRPr="008D0FC6">
        <w:rPr>
          <w:sz w:val="20"/>
          <w:szCs w:val="20"/>
        </w:rPr>
        <w:t>ion to eutrophication</w:t>
      </w:r>
      <w:r w:rsidRPr="008D0FC6">
        <w:rPr>
          <w:sz w:val="20"/>
          <w:szCs w:val="20"/>
        </w:rPr>
        <w:t>. Therefore, if the impact indicator for eutrophication is the main consideration, the be</w:t>
      </w:r>
      <w:r w:rsidR="008D0FC6" w:rsidRPr="008D0FC6">
        <w:rPr>
          <w:sz w:val="20"/>
          <w:szCs w:val="20"/>
        </w:rPr>
        <w:t>tter</w:t>
      </w:r>
      <w:r w:rsidRPr="008D0FC6">
        <w:rPr>
          <w:sz w:val="20"/>
          <w:szCs w:val="20"/>
        </w:rPr>
        <w:t xml:space="preserve"> scenario is presented by Scenario </w:t>
      </w:r>
      <w:r w:rsidR="008D0FC6" w:rsidRPr="008D0FC6">
        <w:rPr>
          <w:sz w:val="20"/>
          <w:szCs w:val="20"/>
        </w:rPr>
        <w:t>2</w:t>
      </w:r>
      <w:r w:rsidRPr="008D0FC6">
        <w:rPr>
          <w:sz w:val="20"/>
          <w:szCs w:val="20"/>
        </w:rPr>
        <w:t xml:space="preserve"> (0.0824 IE).</w:t>
      </w:r>
    </w:p>
    <w:p w:rsidR="00F72C5D" w:rsidRPr="006D08EE" w:rsidRDefault="00F72C5D" w:rsidP="00725C5D">
      <w:pPr>
        <w:jc w:val="both"/>
        <w:rPr>
          <w:b/>
          <w:sz w:val="22"/>
          <w:szCs w:val="22"/>
        </w:rPr>
      </w:pPr>
    </w:p>
    <w:p w:rsidR="00F72C5D" w:rsidRPr="006D08EE" w:rsidRDefault="00F72C5D" w:rsidP="00725C5D">
      <w:pPr>
        <w:jc w:val="both"/>
        <w:rPr>
          <w:b/>
          <w:sz w:val="22"/>
          <w:szCs w:val="22"/>
        </w:rPr>
      </w:pPr>
    </w:p>
    <w:p w:rsidR="00725C5D" w:rsidRPr="006D08EE" w:rsidRDefault="00F72C5D" w:rsidP="00725C5D">
      <w:pPr>
        <w:jc w:val="both"/>
        <w:rPr>
          <w:sz w:val="22"/>
          <w:szCs w:val="22"/>
        </w:rPr>
      </w:pPr>
      <w:r w:rsidRPr="006D08EE">
        <w:rPr>
          <w:b/>
          <w:sz w:val="22"/>
          <w:szCs w:val="22"/>
        </w:rPr>
        <w:t>5</w:t>
      </w:r>
      <w:r w:rsidR="00725C5D" w:rsidRPr="006D08EE">
        <w:rPr>
          <w:b/>
          <w:sz w:val="22"/>
          <w:szCs w:val="22"/>
        </w:rPr>
        <w:t xml:space="preserve">. </w:t>
      </w:r>
      <w:r w:rsidRPr="006D08EE">
        <w:rPr>
          <w:b/>
          <w:sz w:val="22"/>
          <w:szCs w:val="22"/>
        </w:rPr>
        <w:t>CONCLUSIONS</w:t>
      </w:r>
    </w:p>
    <w:p w:rsidR="00725C5D" w:rsidRPr="006D08EE" w:rsidRDefault="00725C5D" w:rsidP="00725C5D">
      <w:pPr>
        <w:jc w:val="both"/>
        <w:rPr>
          <w:sz w:val="20"/>
        </w:rPr>
      </w:pPr>
    </w:p>
    <w:p w:rsidR="00F72C5D" w:rsidRPr="00773E37" w:rsidRDefault="00F72C5D" w:rsidP="00F72C5D">
      <w:pPr>
        <w:jc w:val="both"/>
        <w:rPr>
          <w:bCs/>
          <w:sz w:val="20"/>
          <w:lang w:val="en-GB"/>
        </w:rPr>
      </w:pPr>
      <w:r w:rsidRPr="00773E37">
        <w:rPr>
          <w:bCs/>
          <w:sz w:val="20"/>
          <w:lang w:val="en-GB"/>
        </w:rPr>
        <w:t>Th</w:t>
      </w:r>
      <w:r w:rsidRPr="00773E37">
        <w:rPr>
          <w:sz w:val="20"/>
          <w:lang w:val="it-IT"/>
        </w:rPr>
        <w:t xml:space="preserve">e </w:t>
      </w:r>
      <w:r w:rsidRPr="00773E37">
        <w:rPr>
          <w:bCs/>
          <w:iCs/>
          <w:sz w:val="20"/>
        </w:rPr>
        <w:t>Life Cycle Analysis was often used technique for environmental assessment of waste management systems</w:t>
      </w:r>
      <w:r w:rsidR="001548C7" w:rsidRPr="00773E37">
        <w:rPr>
          <w:bCs/>
          <w:iCs/>
          <w:sz w:val="20"/>
        </w:rPr>
        <w:t>, because</w:t>
      </w:r>
      <w:r w:rsidRPr="00773E37">
        <w:rPr>
          <w:bCs/>
          <w:iCs/>
          <w:sz w:val="20"/>
        </w:rPr>
        <w:t>, it</w:t>
      </w:r>
      <w:r w:rsidRPr="00773E37">
        <w:rPr>
          <w:sz w:val="20"/>
          <w:lang w:val="it-IT"/>
        </w:rPr>
        <w:t xml:space="preserve"> gives the possibility of comparing defined scenarios in terms of the individual impact categories</w:t>
      </w:r>
      <w:r w:rsidR="001548C7" w:rsidRPr="00773E37">
        <w:rPr>
          <w:sz w:val="20"/>
          <w:lang w:val="it-IT"/>
        </w:rPr>
        <w:t>.</w:t>
      </w:r>
      <w:r w:rsidR="00E15FA3" w:rsidRPr="00773E37">
        <w:rPr>
          <w:sz w:val="20"/>
          <w:lang w:val="it-IT"/>
        </w:rPr>
        <w:t xml:space="preserve"> </w:t>
      </w:r>
      <w:r w:rsidR="00B311DA" w:rsidRPr="00773E37">
        <w:rPr>
          <w:bCs/>
          <w:sz w:val="20"/>
          <w:lang w:val="en-GB"/>
        </w:rPr>
        <w:t>Th</w:t>
      </w:r>
      <w:r w:rsidR="00E15FA3" w:rsidRPr="00773E37">
        <w:rPr>
          <w:bCs/>
          <w:sz w:val="20"/>
          <w:lang w:val="en-GB"/>
        </w:rPr>
        <w:t xml:space="preserve">is </w:t>
      </w:r>
      <w:r w:rsidRPr="00773E37">
        <w:rPr>
          <w:bCs/>
          <w:sz w:val="20"/>
          <w:lang w:val="en-GB"/>
        </w:rPr>
        <w:t xml:space="preserve">methodology was applied to </w:t>
      </w:r>
      <w:r w:rsidR="00B311DA" w:rsidRPr="00773E37">
        <w:rPr>
          <w:bCs/>
          <w:sz w:val="20"/>
          <w:lang w:val="en-GB"/>
        </w:rPr>
        <w:t>compare</w:t>
      </w:r>
      <w:r w:rsidRPr="00773E37">
        <w:rPr>
          <w:bCs/>
          <w:sz w:val="20"/>
          <w:lang w:val="en-GB"/>
        </w:rPr>
        <w:t xml:space="preserve"> environmental impact of waste management scenarios with energy recovery in City of Niš as a case study. </w:t>
      </w:r>
      <w:r w:rsidR="00B311DA" w:rsidRPr="00773E37">
        <w:rPr>
          <w:bCs/>
          <w:sz w:val="20"/>
          <w:lang w:val="en-GB"/>
        </w:rPr>
        <w:t>Two</w:t>
      </w:r>
      <w:r w:rsidRPr="00773E37">
        <w:rPr>
          <w:bCs/>
          <w:sz w:val="20"/>
          <w:lang w:val="en-GB"/>
        </w:rPr>
        <w:t xml:space="preserve"> scenarios were taken in to consideration: Incineration – incineration of waste with energy production,</w:t>
      </w:r>
      <w:r w:rsidR="00B311DA" w:rsidRPr="00773E37">
        <w:rPr>
          <w:bCs/>
          <w:sz w:val="20"/>
          <w:lang w:val="en-GB"/>
        </w:rPr>
        <w:t xml:space="preserve"> and</w:t>
      </w:r>
      <w:r w:rsidRPr="00773E37">
        <w:rPr>
          <w:bCs/>
          <w:sz w:val="20"/>
          <w:lang w:val="en-GB"/>
        </w:rPr>
        <w:t xml:space="preserve"> Anaerobic Digestion </w:t>
      </w:r>
      <w:r w:rsidR="00B311DA" w:rsidRPr="00773E37">
        <w:rPr>
          <w:bCs/>
          <w:sz w:val="20"/>
          <w:lang w:val="en-GB"/>
        </w:rPr>
        <w:t xml:space="preserve">and Recycling </w:t>
      </w:r>
      <w:r w:rsidRPr="00773E37">
        <w:rPr>
          <w:bCs/>
          <w:sz w:val="20"/>
          <w:lang w:val="en-GB"/>
        </w:rPr>
        <w:t xml:space="preserve">– anaerobic digestion with biogas utilization for energy generation. Six above mention life cycle impact categories were </w:t>
      </w:r>
      <w:r w:rsidR="00B311DA" w:rsidRPr="00773E37">
        <w:rPr>
          <w:bCs/>
          <w:sz w:val="20"/>
          <w:lang w:val="en-GB"/>
        </w:rPr>
        <w:t>considered</w:t>
      </w:r>
      <w:r w:rsidRPr="00773E37">
        <w:rPr>
          <w:bCs/>
          <w:sz w:val="20"/>
          <w:lang w:val="en-GB"/>
        </w:rPr>
        <w:t>.</w:t>
      </w:r>
    </w:p>
    <w:p w:rsidR="00773E37" w:rsidRPr="00773E37" w:rsidRDefault="00773E37" w:rsidP="00773E37">
      <w:pPr>
        <w:jc w:val="both"/>
        <w:rPr>
          <w:sz w:val="20"/>
        </w:rPr>
      </w:pPr>
      <w:r w:rsidRPr="00773E37">
        <w:rPr>
          <w:sz w:val="20"/>
        </w:rPr>
        <w:t>Selected emissions to air and impact category indicator for assessment lead to the following conclusions:</w:t>
      </w:r>
    </w:p>
    <w:p w:rsidR="00773E37" w:rsidRPr="00773E37" w:rsidRDefault="00773E37" w:rsidP="00773E37">
      <w:pPr>
        <w:numPr>
          <w:ilvl w:val="0"/>
          <w:numId w:val="5"/>
        </w:numPr>
        <w:ind w:left="567"/>
        <w:jc w:val="both"/>
        <w:rPr>
          <w:sz w:val="20"/>
        </w:rPr>
      </w:pPr>
      <w:r w:rsidRPr="00773E37">
        <w:rPr>
          <w:sz w:val="20"/>
        </w:rPr>
        <w:t>In view of a</w:t>
      </w:r>
      <w:r w:rsidRPr="00773E37">
        <w:rPr>
          <w:sz w:val="20"/>
          <w:szCs w:val="20"/>
        </w:rPr>
        <w:t xml:space="preserve">biotic depletion, </w:t>
      </w:r>
      <w:r w:rsidRPr="00773E37">
        <w:rPr>
          <w:sz w:val="20"/>
        </w:rPr>
        <w:t>global warming, acidification, and eutrophication, Scenario 2 (</w:t>
      </w:r>
      <w:r w:rsidRPr="00773E37">
        <w:rPr>
          <w:bCs/>
          <w:sz w:val="20"/>
          <w:lang w:val="en-GB"/>
        </w:rPr>
        <w:t>Anaerobic Digestion and Recycling</w:t>
      </w:r>
      <w:r w:rsidRPr="00773E37">
        <w:rPr>
          <w:sz w:val="20"/>
        </w:rPr>
        <w:t>) was found to be the more feasible.</w:t>
      </w:r>
    </w:p>
    <w:p w:rsidR="00773E37" w:rsidRPr="00773E37" w:rsidRDefault="00773E37" w:rsidP="00773E37">
      <w:pPr>
        <w:numPr>
          <w:ilvl w:val="0"/>
          <w:numId w:val="5"/>
        </w:numPr>
        <w:ind w:left="567"/>
        <w:jc w:val="both"/>
        <w:rPr>
          <w:sz w:val="20"/>
        </w:rPr>
      </w:pPr>
      <w:r w:rsidRPr="00773E37">
        <w:rPr>
          <w:sz w:val="20"/>
        </w:rPr>
        <w:t>In terms of p</w:t>
      </w:r>
      <w:r w:rsidRPr="00773E37">
        <w:rPr>
          <w:sz w:val="20"/>
          <w:szCs w:val="20"/>
        </w:rPr>
        <w:t>hotochemical oxidation</w:t>
      </w:r>
      <w:r w:rsidRPr="00773E37">
        <w:rPr>
          <w:sz w:val="20"/>
        </w:rPr>
        <w:t>, scenario 1 (Incineration) gives the higher value of saving.</w:t>
      </w:r>
    </w:p>
    <w:p w:rsidR="00826AF5" w:rsidRDefault="00F72C5D" w:rsidP="00F72C5D">
      <w:pPr>
        <w:jc w:val="both"/>
        <w:rPr>
          <w:sz w:val="20"/>
        </w:rPr>
      </w:pPr>
      <w:r w:rsidRPr="00773E37">
        <w:rPr>
          <w:sz w:val="20"/>
        </w:rPr>
        <w:t xml:space="preserve">Results of conducted life cycle analysis for developed waste management scenarios with energy recovery in the case study, the City of Niš, show that the best ranking scenario, i.e. </w:t>
      </w:r>
      <w:r w:rsidRPr="00773E37">
        <w:rPr>
          <w:bCs/>
          <w:sz w:val="20"/>
          <w:lang w:val="en-GB"/>
        </w:rPr>
        <w:t>scenario with minimum negative environmental impact</w:t>
      </w:r>
      <w:r w:rsidRPr="00773E37">
        <w:rPr>
          <w:sz w:val="20"/>
        </w:rPr>
        <w:t xml:space="preserve"> is </w:t>
      </w:r>
      <w:r w:rsidRPr="00773E37">
        <w:rPr>
          <w:bCs/>
          <w:sz w:val="20"/>
          <w:lang w:val="en-GB"/>
        </w:rPr>
        <w:t>Recycling and Anaerobic Digestion</w:t>
      </w:r>
      <w:r w:rsidRPr="00773E37">
        <w:rPr>
          <w:sz w:val="20"/>
        </w:rPr>
        <w:t>, scenario which includes recycling of waste (plastic, glass, and metal) and anaerobic digestion of organic waste with energy recovery from biogas.</w:t>
      </w:r>
      <w:r w:rsidR="00773E37" w:rsidRPr="00773E37">
        <w:rPr>
          <w:sz w:val="20"/>
        </w:rPr>
        <w:t xml:space="preserve"> </w:t>
      </w:r>
    </w:p>
    <w:p w:rsidR="00F72C5D" w:rsidRPr="00773E37" w:rsidRDefault="00773E37" w:rsidP="00F72C5D">
      <w:pPr>
        <w:jc w:val="both"/>
        <w:rPr>
          <w:sz w:val="20"/>
        </w:rPr>
      </w:pPr>
      <w:r w:rsidRPr="00773E37">
        <w:rPr>
          <w:sz w:val="20"/>
        </w:rPr>
        <w:t>These results shown also that the LCA methodology allows us to construct an environmental data set and examine the environmental impact of the life cycle of various waste treatment methods to support a decision making on the solid waste management strategy for energy.</w:t>
      </w:r>
    </w:p>
    <w:p w:rsidR="00725C5D" w:rsidRPr="006D08EE" w:rsidRDefault="00725C5D" w:rsidP="00F72C5D">
      <w:pPr>
        <w:jc w:val="both"/>
        <w:rPr>
          <w:color w:val="FF0000"/>
          <w:sz w:val="20"/>
        </w:rPr>
      </w:pPr>
    </w:p>
    <w:p w:rsidR="00725C5D" w:rsidRPr="006D08EE" w:rsidRDefault="00725C5D" w:rsidP="00725C5D">
      <w:pPr>
        <w:jc w:val="both"/>
        <w:rPr>
          <w:sz w:val="20"/>
        </w:rPr>
      </w:pPr>
    </w:p>
    <w:p w:rsidR="00725C5D" w:rsidRPr="006D08EE" w:rsidRDefault="00725C5D" w:rsidP="00725C5D">
      <w:pPr>
        <w:jc w:val="both"/>
        <w:rPr>
          <w:sz w:val="20"/>
        </w:rPr>
      </w:pPr>
    </w:p>
    <w:p w:rsidR="00725C5D" w:rsidRPr="008F5D47" w:rsidRDefault="00F72C5D" w:rsidP="00725C5D">
      <w:pPr>
        <w:jc w:val="both"/>
        <w:rPr>
          <w:sz w:val="22"/>
          <w:szCs w:val="22"/>
          <w:lang w:val="de-DE"/>
        </w:rPr>
      </w:pPr>
      <w:r>
        <w:rPr>
          <w:b/>
          <w:sz w:val="22"/>
          <w:szCs w:val="22"/>
          <w:lang w:val="de-DE"/>
        </w:rPr>
        <w:t>REFERENCES</w:t>
      </w:r>
    </w:p>
    <w:p w:rsidR="00725C5D" w:rsidRPr="008F5D47" w:rsidRDefault="00725C5D" w:rsidP="00725C5D">
      <w:pPr>
        <w:jc w:val="both"/>
        <w:rPr>
          <w:sz w:val="20"/>
          <w:lang w:val="de-DE"/>
        </w:rPr>
      </w:pPr>
    </w:p>
    <w:p w:rsidR="004D4453" w:rsidRPr="00371BDC" w:rsidRDefault="00F51D71" w:rsidP="00371BDC">
      <w:pPr>
        <w:numPr>
          <w:ilvl w:val="0"/>
          <w:numId w:val="1"/>
        </w:numPr>
        <w:tabs>
          <w:tab w:val="clear" w:pos="720"/>
          <w:tab w:val="num" w:pos="284"/>
        </w:tabs>
        <w:ind w:left="284" w:hanging="284"/>
        <w:jc w:val="both"/>
        <w:rPr>
          <w:sz w:val="20"/>
          <w:lang w:val="sr-Latn-CS"/>
        </w:rPr>
      </w:pPr>
      <w:r w:rsidRPr="00371BDC">
        <w:rPr>
          <w:sz w:val="20"/>
          <w:lang w:val="sr-Latn-CS"/>
        </w:rPr>
        <w:t>COMMISSION OF THE EUROPEAN COMMUNITIES</w:t>
      </w:r>
      <w:r w:rsidR="004D4453" w:rsidRPr="00371BDC">
        <w:rPr>
          <w:sz w:val="20"/>
          <w:lang w:val="sr-Latn-CS"/>
        </w:rPr>
        <w:t xml:space="preserve">, </w:t>
      </w:r>
      <w:r w:rsidR="004D4453" w:rsidRPr="00371BDC">
        <w:rPr>
          <w:i/>
          <w:sz w:val="20"/>
          <w:lang w:val="sr-Latn-CS"/>
        </w:rPr>
        <w:t>Taking sustainable use of resources forward: A Thematic Strategy on the prevention and recycling of waste (COM(2005) final)</w:t>
      </w:r>
      <w:r w:rsidR="00914CDD">
        <w:rPr>
          <w:i/>
          <w:sz w:val="20"/>
          <w:lang w:val="sr-Latn-CS"/>
        </w:rPr>
        <w:t>,</w:t>
      </w:r>
      <w:r w:rsidR="004D4453" w:rsidRPr="00371BDC">
        <w:rPr>
          <w:sz w:val="20"/>
          <w:lang w:val="sr-Latn-CS"/>
        </w:rPr>
        <w:t xml:space="preserve"> Brussels</w:t>
      </w:r>
      <w:r w:rsidRPr="00371BDC">
        <w:rPr>
          <w:sz w:val="20"/>
          <w:lang w:val="sr-Latn-CS"/>
        </w:rPr>
        <w:t>,</w:t>
      </w:r>
      <w:r w:rsidR="004D4453" w:rsidRPr="00371BDC">
        <w:rPr>
          <w:sz w:val="20"/>
          <w:lang w:val="sr-Latn-CS"/>
        </w:rPr>
        <w:t xml:space="preserve"> 2005. </w:t>
      </w:r>
    </w:p>
    <w:p w:rsidR="004D4453" w:rsidRPr="004D4453" w:rsidRDefault="00F51D71" w:rsidP="00371BDC">
      <w:pPr>
        <w:numPr>
          <w:ilvl w:val="0"/>
          <w:numId w:val="1"/>
        </w:numPr>
        <w:tabs>
          <w:tab w:val="clear" w:pos="720"/>
          <w:tab w:val="num" w:pos="284"/>
        </w:tabs>
        <w:ind w:left="284" w:hanging="284"/>
        <w:rPr>
          <w:sz w:val="20"/>
          <w:lang w:val="en-GB"/>
        </w:rPr>
      </w:pPr>
      <w:r w:rsidRPr="004D4453">
        <w:rPr>
          <w:sz w:val="20"/>
          <w:lang w:val="en-GB"/>
        </w:rPr>
        <w:t>ALLESCH P</w:t>
      </w:r>
      <w:r>
        <w:rPr>
          <w:sz w:val="20"/>
          <w:lang w:val="en-GB"/>
        </w:rPr>
        <w:t>.</w:t>
      </w:r>
      <w:r w:rsidRPr="004D4453">
        <w:rPr>
          <w:sz w:val="20"/>
          <w:lang w:val="en-GB"/>
        </w:rPr>
        <w:t>, BRUNNER P</w:t>
      </w:r>
      <w:r>
        <w:rPr>
          <w:sz w:val="20"/>
          <w:lang w:val="en-GB"/>
        </w:rPr>
        <w:t>.</w:t>
      </w:r>
      <w:r w:rsidRPr="004D4453">
        <w:rPr>
          <w:sz w:val="20"/>
          <w:lang w:val="en-GB"/>
        </w:rPr>
        <w:t>H</w:t>
      </w:r>
      <w:r w:rsidR="004D4453" w:rsidRPr="004D4453">
        <w:rPr>
          <w:sz w:val="20"/>
          <w:lang w:val="en-GB"/>
        </w:rPr>
        <w:t>.</w:t>
      </w:r>
      <w:r>
        <w:rPr>
          <w:sz w:val="20"/>
          <w:lang w:val="en-GB"/>
        </w:rPr>
        <w:t>:</w:t>
      </w:r>
      <w:r w:rsidR="004D4453" w:rsidRPr="004D4453">
        <w:rPr>
          <w:sz w:val="20"/>
          <w:lang w:val="en-GB"/>
        </w:rPr>
        <w:t xml:space="preserve"> </w:t>
      </w:r>
      <w:r w:rsidR="004D4453" w:rsidRPr="00F51D71">
        <w:rPr>
          <w:i/>
          <w:sz w:val="20"/>
          <w:lang w:val="en-GB"/>
        </w:rPr>
        <w:t>Assessment methods for solid waste management: A literature review</w:t>
      </w:r>
      <w:r w:rsidR="004D4453" w:rsidRPr="004D4453">
        <w:rPr>
          <w:sz w:val="20"/>
          <w:lang w:val="en-GB"/>
        </w:rPr>
        <w:t>, Waste Manage</w:t>
      </w:r>
      <w:r>
        <w:rPr>
          <w:sz w:val="20"/>
          <w:lang w:val="en-GB"/>
        </w:rPr>
        <w:t>ment&amp;</w:t>
      </w:r>
      <w:r w:rsidR="004D4453" w:rsidRPr="004D4453">
        <w:rPr>
          <w:sz w:val="20"/>
          <w:lang w:val="en-GB"/>
        </w:rPr>
        <w:t>Res</w:t>
      </w:r>
      <w:r>
        <w:rPr>
          <w:sz w:val="20"/>
          <w:lang w:val="en-GB"/>
        </w:rPr>
        <w:t>earch,</w:t>
      </w:r>
      <w:r w:rsidR="004D4453" w:rsidRPr="004D4453">
        <w:rPr>
          <w:sz w:val="20"/>
          <w:lang w:val="en-GB"/>
        </w:rPr>
        <w:t xml:space="preserve"> 2014</w:t>
      </w:r>
      <w:r>
        <w:rPr>
          <w:sz w:val="20"/>
          <w:lang w:val="en-GB"/>
        </w:rPr>
        <w:t xml:space="preserve">, vol. </w:t>
      </w:r>
      <w:r w:rsidR="004D4453" w:rsidRPr="004D4453">
        <w:rPr>
          <w:sz w:val="20"/>
          <w:lang w:val="en-GB"/>
        </w:rPr>
        <w:t>32(6)</w:t>
      </w:r>
      <w:r>
        <w:rPr>
          <w:sz w:val="20"/>
          <w:lang w:val="en-GB"/>
        </w:rPr>
        <w:t>, pp.</w:t>
      </w:r>
      <w:r w:rsidR="004D4453" w:rsidRPr="004D4453">
        <w:rPr>
          <w:sz w:val="20"/>
          <w:lang w:val="en-GB"/>
        </w:rPr>
        <w:t>461-473.</w:t>
      </w:r>
    </w:p>
    <w:p w:rsidR="004D4453" w:rsidRPr="004D4453" w:rsidRDefault="00F51D71" w:rsidP="00371BDC">
      <w:pPr>
        <w:numPr>
          <w:ilvl w:val="0"/>
          <w:numId w:val="1"/>
        </w:numPr>
        <w:tabs>
          <w:tab w:val="clear" w:pos="720"/>
          <w:tab w:val="num" w:pos="284"/>
        </w:tabs>
        <w:ind w:left="284" w:hanging="284"/>
        <w:rPr>
          <w:sz w:val="20"/>
          <w:lang w:val="en-GB"/>
        </w:rPr>
      </w:pPr>
      <w:r w:rsidRPr="004D4453">
        <w:rPr>
          <w:sz w:val="20"/>
        </w:rPr>
        <w:t>ASTRUP T</w:t>
      </w:r>
      <w:r>
        <w:rPr>
          <w:sz w:val="20"/>
        </w:rPr>
        <w:t>.</w:t>
      </w:r>
      <w:r w:rsidRPr="004D4453">
        <w:rPr>
          <w:sz w:val="20"/>
        </w:rPr>
        <w:t>F</w:t>
      </w:r>
      <w:r>
        <w:rPr>
          <w:sz w:val="20"/>
        </w:rPr>
        <w:t>.</w:t>
      </w:r>
      <w:r w:rsidRPr="004D4453">
        <w:rPr>
          <w:sz w:val="20"/>
        </w:rPr>
        <w:t>, TONINI D</w:t>
      </w:r>
      <w:r>
        <w:rPr>
          <w:sz w:val="20"/>
        </w:rPr>
        <w:t>.</w:t>
      </w:r>
      <w:r w:rsidRPr="004D4453">
        <w:rPr>
          <w:sz w:val="20"/>
        </w:rPr>
        <w:t>, TURCONI R</w:t>
      </w:r>
      <w:r>
        <w:rPr>
          <w:sz w:val="20"/>
        </w:rPr>
        <w:t>.</w:t>
      </w:r>
      <w:r w:rsidRPr="004D4453">
        <w:rPr>
          <w:sz w:val="20"/>
        </w:rPr>
        <w:t>, BOLDRIN A</w:t>
      </w:r>
      <w:r w:rsidR="004D4453" w:rsidRPr="004D4453">
        <w:rPr>
          <w:sz w:val="20"/>
        </w:rPr>
        <w:t>.</w:t>
      </w:r>
      <w:r>
        <w:rPr>
          <w:sz w:val="20"/>
        </w:rPr>
        <w:t>:</w:t>
      </w:r>
      <w:r w:rsidR="004D4453" w:rsidRPr="004D4453">
        <w:rPr>
          <w:sz w:val="20"/>
        </w:rPr>
        <w:t xml:space="preserve"> </w:t>
      </w:r>
      <w:r w:rsidR="004D4453" w:rsidRPr="00F51D71">
        <w:rPr>
          <w:i/>
          <w:sz w:val="20"/>
        </w:rPr>
        <w:t>Life cycle assessment of thermal Waste-to-Energy technologies: Review and recommendations</w:t>
      </w:r>
      <w:r>
        <w:rPr>
          <w:i/>
          <w:sz w:val="20"/>
        </w:rPr>
        <w:t>,</w:t>
      </w:r>
      <w:r w:rsidR="004D4453" w:rsidRPr="004D4453">
        <w:rPr>
          <w:sz w:val="20"/>
        </w:rPr>
        <w:t xml:space="preserve"> Waste Manage</w:t>
      </w:r>
      <w:r>
        <w:rPr>
          <w:sz w:val="20"/>
        </w:rPr>
        <w:t>ment,</w:t>
      </w:r>
      <w:r w:rsidR="004D4453" w:rsidRPr="004D4453">
        <w:rPr>
          <w:sz w:val="20"/>
        </w:rPr>
        <w:t xml:space="preserve"> 2015</w:t>
      </w:r>
      <w:r>
        <w:rPr>
          <w:sz w:val="20"/>
        </w:rPr>
        <w:t>, vl.</w:t>
      </w:r>
      <w:r w:rsidR="004D4453" w:rsidRPr="004D4453">
        <w:rPr>
          <w:sz w:val="20"/>
        </w:rPr>
        <w:t>37</w:t>
      </w:r>
      <w:r>
        <w:rPr>
          <w:sz w:val="20"/>
        </w:rPr>
        <w:t>, pp.</w:t>
      </w:r>
      <w:r w:rsidR="004D4453" w:rsidRPr="004D4453">
        <w:rPr>
          <w:sz w:val="20"/>
        </w:rPr>
        <w:t>104–115.</w:t>
      </w:r>
    </w:p>
    <w:p w:rsidR="004D4453" w:rsidRPr="004D4453" w:rsidRDefault="00F51D71" w:rsidP="00371BDC">
      <w:pPr>
        <w:numPr>
          <w:ilvl w:val="0"/>
          <w:numId w:val="1"/>
        </w:numPr>
        <w:tabs>
          <w:tab w:val="clear" w:pos="720"/>
          <w:tab w:val="num" w:pos="284"/>
        </w:tabs>
        <w:ind w:left="284" w:hanging="284"/>
        <w:rPr>
          <w:sz w:val="20"/>
          <w:lang w:val="en-GB"/>
        </w:rPr>
      </w:pPr>
      <w:r w:rsidRPr="004D4453">
        <w:rPr>
          <w:sz w:val="20"/>
        </w:rPr>
        <w:t>LAURENT A</w:t>
      </w:r>
      <w:r>
        <w:rPr>
          <w:sz w:val="20"/>
        </w:rPr>
        <w:t>.</w:t>
      </w:r>
      <w:r w:rsidRPr="004D4453">
        <w:rPr>
          <w:sz w:val="20"/>
        </w:rPr>
        <w:t>, BAKAS I</w:t>
      </w:r>
      <w:r>
        <w:rPr>
          <w:sz w:val="20"/>
        </w:rPr>
        <w:t>.</w:t>
      </w:r>
      <w:r w:rsidRPr="004D4453">
        <w:rPr>
          <w:sz w:val="20"/>
        </w:rPr>
        <w:t>, CLAVREUL J</w:t>
      </w:r>
      <w:r>
        <w:rPr>
          <w:sz w:val="20"/>
        </w:rPr>
        <w:t>.</w:t>
      </w:r>
      <w:r w:rsidRPr="004D4453">
        <w:rPr>
          <w:sz w:val="20"/>
        </w:rPr>
        <w:t>, BERNSTAD A</w:t>
      </w:r>
      <w:r>
        <w:rPr>
          <w:sz w:val="20"/>
        </w:rPr>
        <w:t>.</w:t>
      </w:r>
      <w:r w:rsidRPr="004D4453">
        <w:rPr>
          <w:sz w:val="20"/>
        </w:rPr>
        <w:t>, NIERO M</w:t>
      </w:r>
      <w:r>
        <w:rPr>
          <w:sz w:val="20"/>
        </w:rPr>
        <w:t>.</w:t>
      </w:r>
      <w:r w:rsidRPr="004D4453">
        <w:rPr>
          <w:sz w:val="20"/>
        </w:rPr>
        <w:t>, GENTIL E</w:t>
      </w:r>
      <w:r>
        <w:rPr>
          <w:sz w:val="20"/>
        </w:rPr>
        <w:t>.</w:t>
      </w:r>
      <w:r w:rsidRPr="004D4453">
        <w:rPr>
          <w:sz w:val="20"/>
        </w:rPr>
        <w:t>, HAUSCHILD M</w:t>
      </w:r>
      <w:r>
        <w:rPr>
          <w:sz w:val="20"/>
        </w:rPr>
        <w:t>.</w:t>
      </w:r>
      <w:r w:rsidRPr="004D4453">
        <w:rPr>
          <w:sz w:val="20"/>
        </w:rPr>
        <w:t>Z</w:t>
      </w:r>
      <w:r>
        <w:rPr>
          <w:sz w:val="20"/>
        </w:rPr>
        <w:t>.</w:t>
      </w:r>
      <w:r w:rsidRPr="004D4453">
        <w:rPr>
          <w:sz w:val="20"/>
        </w:rPr>
        <w:t>, CHRISTENSEN T</w:t>
      </w:r>
      <w:r>
        <w:rPr>
          <w:sz w:val="20"/>
        </w:rPr>
        <w:t>.</w:t>
      </w:r>
      <w:r w:rsidRPr="004D4453">
        <w:rPr>
          <w:sz w:val="20"/>
        </w:rPr>
        <w:t>H</w:t>
      </w:r>
      <w:r w:rsidR="004D4453" w:rsidRPr="004D4453">
        <w:rPr>
          <w:sz w:val="20"/>
        </w:rPr>
        <w:t>.</w:t>
      </w:r>
      <w:r>
        <w:rPr>
          <w:sz w:val="20"/>
        </w:rPr>
        <w:t>:</w:t>
      </w:r>
      <w:r w:rsidR="004D4453" w:rsidRPr="004D4453">
        <w:rPr>
          <w:sz w:val="20"/>
        </w:rPr>
        <w:t xml:space="preserve"> </w:t>
      </w:r>
      <w:r w:rsidR="004D4453" w:rsidRPr="00F51D71">
        <w:rPr>
          <w:i/>
          <w:sz w:val="20"/>
        </w:rPr>
        <w:t>Review of LCA studies of solid waste management systems – Part I: Lessons learned and perspectives</w:t>
      </w:r>
      <w:r>
        <w:rPr>
          <w:sz w:val="20"/>
        </w:rPr>
        <w:t>,</w:t>
      </w:r>
      <w:r w:rsidR="004D4453" w:rsidRPr="004D4453">
        <w:rPr>
          <w:sz w:val="20"/>
        </w:rPr>
        <w:t xml:space="preserve"> Waste Manage</w:t>
      </w:r>
      <w:r>
        <w:rPr>
          <w:sz w:val="20"/>
        </w:rPr>
        <w:t>ment,</w:t>
      </w:r>
      <w:r w:rsidR="004D4453" w:rsidRPr="004D4453">
        <w:rPr>
          <w:sz w:val="20"/>
        </w:rPr>
        <w:t xml:space="preserve"> 2014</w:t>
      </w:r>
      <w:r>
        <w:rPr>
          <w:sz w:val="20"/>
        </w:rPr>
        <w:t>, vol.</w:t>
      </w:r>
      <w:r w:rsidR="004D4453" w:rsidRPr="004D4453">
        <w:rPr>
          <w:sz w:val="20"/>
        </w:rPr>
        <w:t>34</w:t>
      </w:r>
      <w:r>
        <w:rPr>
          <w:sz w:val="20"/>
        </w:rPr>
        <w:t>, pp.</w:t>
      </w:r>
      <w:r w:rsidR="004D4453" w:rsidRPr="004D4453">
        <w:rPr>
          <w:sz w:val="20"/>
        </w:rPr>
        <w:t>573–588.</w:t>
      </w:r>
    </w:p>
    <w:p w:rsidR="004D4453" w:rsidRPr="004D4453" w:rsidRDefault="00F51D71" w:rsidP="00371BDC">
      <w:pPr>
        <w:numPr>
          <w:ilvl w:val="0"/>
          <w:numId w:val="1"/>
        </w:numPr>
        <w:tabs>
          <w:tab w:val="clear" w:pos="720"/>
          <w:tab w:val="num" w:pos="284"/>
        </w:tabs>
        <w:ind w:left="284" w:hanging="284"/>
        <w:rPr>
          <w:sz w:val="20"/>
          <w:lang w:val="en-GB"/>
        </w:rPr>
      </w:pPr>
      <w:r w:rsidRPr="004D4453">
        <w:rPr>
          <w:sz w:val="20"/>
          <w:lang w:val="en-GB"/>
        </w:rPr>
        <w:t>BARTON J</w:t>
      </w:r>
      <w:r>
        <w:rPr>
          <w:sz w:val="20"/>
          <w:lang w:val="en-GB"/>
        </w:rPr>
        <w:t>.</w:t>
      </w:r>
      <w:r w:rsidRPr="004D4453">
        <w:rPr>
          <w:sz w:val="20"/>
          <w:lang w:val="en-GB"/>
        </w:rPr>
        <w:t>R</w:t>
      </w:r>
      <w:r>
        <w:rPr>
          <w:sz w:val="20"/>
          <w:lang w:val="en-GB"/>
        </w:rPr>
        <w:t>.</w:t>
      </w:r>
      <w:r w:rsidRPr="004D4453">
        <w:rPr>
          <w:sz w:val="20"/>
          <w:lang w:val="en-GB"/>
        </w:rPr>
        <w:t>, DALLEY D</w:t>
      </w:r>
      <w:r>
        <w:rPr>
          <w:sz w:val="20"/>
          <w:lang w:val="en-GB"/>
        </w:rPr>
        <w:t>.</w:t>
      </w:r>
      <w:r w:rsidRPr="004D4453">
        <w:rPr>
          <w:sz w:val="20"/>
          <w:lang w:val="en-GB"/>
        </w:rPr>
        <w:t>, PATEL V</w:t>
      </w:r>
      <w:r>
        <w:rPr>
          <w:sz w:val="20"/>
          <w:lang w:val="en-GB"/>
        </w:rPr>
        <w:t>.</w:t>
      </w:r>
      <w:r w:rsidRPr="004D4453">
        <w:rPr>
          <w:sz w:val="20"/>
          <w:lang w:val="en-GB"/>
        </w:rPr>
        <w:t>S</w:t>
      </w:r>
      <w:r w:rsidR="004D4453" w:rsidRPr="004D4453">
        <w:rPr>
          <w:sz w:val="20"/>
          <w:lang w:val="en-GB"/>
        </w:rPr>
        <w:t>.</w:t>
      </w:r>
      <w:r>
        <w:rPr>
          <w:sz w:val="20"/>
          <w:lang w:val="en-GB"/>
        </w:rPr>
        <w:t>:</w:t>
      </w:r>
      <w:r w:rsidR="004D4453" w:rsidRPr="004D4453">
        <w:rPr>
          <w:sz w:val="20"/>
          <w:lang w:val="en-GB"/>
        </w:rPr>
        <w:t xml:space="preserve"> </w:t>
      </w:r>
      <w:r w:rsidR="004D4453" w:rsidRPr="00F51D71">
        <w:rPr>
          <w:i/>
          <w:sz w:val="20"/>
          <w:lang w:val="en-GB"/>
        </w:rPr>
        <w:t>Life cycle assessment for waste management</w:t>
      </w:r>
      <w:r>
        <w:rPr>
          <w:i/>
          <w:sz w:val="20"/>
          <w:lang w:val="en-GB"/>
        </w:rPr>
        <w:t>,</w:t>
      </w:r>
      <w:r w:rsidR="004D4453" w:rsidRPr="004D4453">
        <w:rPr>
          <w:sz w:val="20"/>
          <w:lang w:val="en-GB"/>
        </w:rPr>
        <w:t xml:space="preserve"> </w:t>
      </w:r>
      <w:r w:rsidR="004D4453" w:rsidRPr="004D4453">
        <w:rPr>
          <w:sz w:val="20"/>
        </w:rPr>
        <w:t>Waste Manage</w:t>
      </w:r>
      <w:r>
        <w:rPr>
          <w:sz w:val="20"/>
        </w:rPr>
        <w:t>ment,</w:t>
      </w:r>
      <w:r w:rsidR="004D4453" w:rsidRPr="004D4453">
        <w:rPr>
          <w:sz w:val="20"/>
        </w:rPr>
        <w:t xml:space="preserve"> 1996</w:t>
      </w:r>
      <w:r>
        <w:rPr>
          <w:sz w:val="20"/>
        </w:rPr>
        <w:t xml:space="preserve">, vol. </w:t>
      </w:r>
      <w:r w:rsidR="004D4453" w:rsidRPr="004D4453">
        <w:rPr>
          <w:sz w:val="20"/>
        </w:rPr>
        <w:t>16(1-3)</w:t>
      </w:r>
      <w:r>
        <w:rPr>
          <w:sz w:val="20"/>
        </w:rPr>
        <w:t>, pp.</w:t>
      </w:r>
      <w:r w:rsidR="004D4453" w:rsidRPr="004D4453">
        <w:rPr>
          <w:sz w:val="20"/>
        </w:rPr>
        <w:t>35-50.</w:t>
      </w:r>
    </w:p>
    <w:p w:rsidR="004D4453" w:rsidRPr="004D4453" w:rsidRDefault="00F51D71" w:rsidP="00371BDC">
      <w:pPr>
        <w:numPr>
          <w:ilvl w:val="0"/>
          <w:numId w:val="1"/>
        </w:numPr>
        <w:tabs>
          <w:tab w:val="clear" w:pos="720"/>
          <w:tab w:val="num" w:pos="284"/>
        </w:tabs>
        <w:ind w:left="284" w:hanging="284"/>
        <w:rPr>
          <w:sz w:val="20"/>
          <w:lang w:val="en-GB"/>
        </w:rPr>
      </w:pPr>
      <w:r w:rsidRPr="004D4453">
        <w:rPr>
          <w:sz w:val="20"/>
          <w:lang w:val="en-GB"/>
        </w:rPr>
        <w:t>WINKLER J</w:t>
      </w:r>
      <w:r>
        <w:rPr>
          <w:sz w:val="20"/>
          <w:lang w:val="en-GB"/>
        </w:rPr>
        <w:t>.</w:t>
      </w:r>
      <w:r w:rsidRPr="004D4453">
        <w:rPr>
          <w:sz w:val="20"/>
          <w:lang w:val="en-GB"/>
        </w:rPr>
        <w:t>, BILITEWSKI B.</w:t>
      </w:r>
      <w:r>
        <w:rPr>
          <w:sz w:val="20"/>
          <w:lang w:val="en-GB"/>
        </w:rPr>
        <w:t>:</w:t>
      </w:r>
      <w:r w:rsidRPr="004D4453">
        <w:rPr>
          <w:sz w:val="20"/>
          <w:lang w:val="en-GB"/>
        </w:rPr>
        <w:t xml:space="preserve"> </w:t>
      </w:r>
      <w:r w:rsidRPr="00F51D71">
        <w:rPr>
          <w:i/>
          <w:sz w:val="20"/>
          <w:lang w:val="en-GB"/>
        </w:rPr>
        <w:t>Comparative evaluation of life cycle assessment models for solid waste management</w:t>
      </w:r>
      <w:r>
        <w:rPr>
          <w:i/>
          <w:sz w:val="20"/>
          <w:lang w:val="en-GB"/>
        </w:rPr>
        <w:t xml:space="preserve">, </w:t>
      </w:r>
      <w:r w:rsidR="004D4453" w:rsidRPr="004D4453">
        <w:rPr>
          <w:sz w:val="20"/>
        </w:rPr>
        <w:t>Waste Manage</w:t>
      </w:r>
      <w:r>
        <w:rPr>
          <w:sz w:val="20"/>
        </w:rPr>
        <w:t>ment,</w:t>
      </w:r>
      <w:r w:rsidR="004D4453" w:rsidRPr="004D4453">
        <w:rPr>
          <w:sz w:val="20"/>
        </w:rPr>
        <w:t xml:space="preserve"> 2007</w:t>
      </w:r>
      <w:r>
        <w:rPr>
          <w:sz w:val="20"/>
        </w:rPr>
        <w:t>, vol.</w:t>
      </w:r>
      <w:r w:rsidR="004D4453" w:rsidRPr="004D4453">
        <w:rPr>
          <w:sz w:val="20"/>
        </w:rPr>
        <w:t xml:space="preserve"> 27</w:t>
      </w:r>
      <w:r>
        <w:rPr>
          <w:sz w:val="20"/>
        </w:rPr>
        <w:t>, pp.</w:t>
      </w:r>
      <w:r w:rsidR="004D4453" w:rsidRPr="004D4453">
        <w:rPr>
          <w:sz w:val="20"/>
        </w:rPr>
        <w:t>1021–1031.</w:t>
      </w:r>
    </w:p>
    <w:p w:rsidR="004D4453" w:rsidRPr="004D4453" w:rsidRDefault="00F51D71" w:rsidP="00371BDC">
      <w:pPr>
        <w:numPr>
          <w:ilvl w:val="0"/>
          <w:numId w:val="1"/>
        </w:numPr>
        <w:tabs>
          <w:tab w:val="clear" w:pos="720"/>
          <w:tab w:val="num" w:pos="284"/>
        </w:tabs>
        <w:ind w:left="284" w:hanging="284"/>
        <w:rPr>
          <w:sz w:val="20"/>
          <w:lang w:val="en-GB"/>
        </w:rPr>
      </w:pPr>
      <w:r w:rsidRPr="004D4453">
        <w:rPr>
          <w:bCs/>
          <w:sz w:val="20"/>
        </w:rPr>
        <w:t>KULCZYCKA J</w:t>
      </w:r>
      <w:r>
        <w:rPr>
          <w:bCs/>
          <w:sz w:val="20"/>
        </w:rPr>
        <w:t>.</w:t>
      </w:r>
      <w:r w:rsidRPr="004D4453">
        <w:rPr>
          <w:bCs/>
          <w:sz w:val="20"/>
        </w:rPr>
        <w:t>, LELEK L</w:t>
      </w:r>
      <w:r w:rsidR="00914CDD">
        <w:rPr>
          <w:bCs/>
          <w:sz w:val="20"/>
        </w:rPr>
        <w:t>.</w:t>
      </w:r>
      <w:r w:rsidRPr="004D4453">
        <w:rPr>
          <w:bCs/>
          <w:sz w:val="20"/>
        </w:rPr>
        <w:t>, LEWANDOWSKA A</w:t>
      </w:r>
      <w:r w:rsidR="00914CDD">
        <w:rPr>
          <w:bCs/>
          <w:sz w:val="20"/>
        </w:rPr>
        <w:t>.</w:t>
      </w:r>
      <w:r w:rsidRPr="004D4453">
        <w:rPr>
          <w:bCs/>
          <w:sz w:val="20"/>
        </w:rPr>
        <w:t xml:space="preserve">, ZAREBSKA </w:t>
      </w:r>
      <w:r w:rsidR="004D4453" w:rsidRPr="004D4453">
        <w:rPr>
          <w:bCs/>
          <w:sz w:val="20"/>
        </w:rPr>
        <w:t>J.</w:t>
      </w:r>
      <w:r>
        <w:rPr>
          <w:bCs/>
          <w:sz w:val="20"/>
        </w:rPr>
        <w:t>:</w:t>
      </w:r>
      <w:r w:rsidR="004D4453" w:rsidRPr="004D4453">
        <w:rPr>
          <w:bCs/>
          <w:sz w:val="20"/>
        </w:rPr>
        <w:t xml:space="preserve"> </w:t>
      </w:r>
      <w:r w:rsidR="004D4453" w:rsidRPr="00F51D71">
        <w:rPr>
          <w:bCs/>
          <w:i/>
          <w:sz w:val="20"/>
        </w:rPr>
        <w:t>Life Cycle Assessment of Municipal Solid Waste Management – Comparison of Results Using Different LCA Models</w:t>
      </w:r>
      <w:r w:rsidR="004D4453" w:rsidRPr="004D4453">
        <w:rPr>
          <w:bCs/>
          <w:sz w:val="20"/>
        </w:rPr>
        <w:t xml:space="preserve">. </w:t>
      </w:r>
      <w:r w:rsidRPr="00F51D71">
        <w:rPr>
          <w:iCs/>
          <w:sz w:val="20"/>
        </w:rPr>
        <w:t>Polish Journal of Environmental Studies</w:t>
      </w:r>
      <w:r>
        <w:rPr>
          <w:iCs/>
          <w:sz w:val="20"/>
        </w:rPr>
        <w:t xml:space="preserve">, </w:t>
      </w:r>
      <w:r w:rsidRPr="00F51D71">
        <w:rPr>
          <w:bCs/>
          <w:iCs/>
          <w:sz w:val="20"/>
        </w:rPr>
        <w:t xml:space="preserve"> </w:t>
      </w:r>
      <w:r w:rsidR="004D4453" w:rsidRPr="004D4453">
        <w:rPr>
          <w:bCs/>
          <w:iCs/>
          <w:sz w:val="20"/>
        </w:rPr>
        <w:t>2015</w:t>
      </w:r>
      <w:r>
        <w:rPr>
          <w:bCs/>
          <w:iCs/>
          <w:sz w:val="20"/>
        </w:rPr>
        <w:t>, vol.</w:t>
      </w:r>
      <w:r w:rsidR="004D4453" w:rsidRPr="004D4453">
        <w:rPr>
          <w:bCs/>
          <w:iCs/>
          <w:sz w:val="20"/>
        </w:rPr>
        <w:t>24(1)</w:t>
      </w:r>
      <w:r>
        <w:rPr>
          <w:bCs/>
          <w:iCs/>
          <w:sz w:val="20"/>
        </w:rPr>
        <w:t>, pp.</w:t>
      </w:r>
      <w:r w:rsidR="004D4453" w:rsidRPr="004D4453">
        <w:rPr>
          <w:bCs/>
          <w:iCs/>
          <w:sz w:val="20"/>
        </w:rPr>
        <w:t>125-140.</w:t>
      </w:r>
    </w:p>
    <w:p w:rsidR="004D4453" w:rsidRPr="004D4453" w:rsidRDefault="00F51D71" w:rsidP="00371BDC">
      <w:pPr>
        <w:numPr>
          <w:ilvl w:val="0"/>
          <w:numId w:val="1"/>
        </w:numPr>
        <w:tabs>
          <w:tab w:val="clear" w:pos="720"/>
          <w:tab w:val="num" w:pos="284"/>
        </w:tabs>
        <w:ind w:left="284" w:hanging="284"/>
        <w:rPr>
          <w:sz w:val="20"/>
          <w:lang w:val="en-GB"/>
        </w:rPr>
      </w:pPr>
      <w:r w:rsidRPr="004D4453">
        <w:rPr>
          <w:sz w:val="20"/>
          <w:lang w:val="en-GB"/>
        </w:rPr>
        <w:t>CLIFT R</w:t>
      </w:r>
      <w:r>
        <w:rPr>
          <w:sz w:val="20"/>
          <w:lang w:val="en-GB"/>
        </w:rPr>
        <w:t>.</w:t>
      </w:r>
      <w:r w:rsidRPr="004D4453">
        <w:rPr>
          <w:sz w:val="20"/>
          <w:lang w:val="en-GB"/>
        </w:rPr>
        <w:t>, DOIG A</w:t>
      </w:r>
      <w:r>
        <w:rPr>
          <w:sz w:val="20"/>
          <w:lang w:val="en-GB"/>
        </w:rPr>
        <w:t>.</w:t>
      </w:r>
      <w:r w:rsidRPr="004D4453">
        <w:rPr>
          <w:sz w:val="20"/>
          <w:lang w:val="en-GB"/>
        </w:rPr>
        <w:t>, FINNVEDEN G.</w:t>
      </w:r>
      <w:r>
        <w:rPr>
          <w:sz w:val="20"/>
          <w:lang w:val="en-GB"/>
        </w:rPr>
        <w:t>:</w:t>
      </w:r>
      <w:r w:rsidR="004D4453" w:rsidRPr="004D4453">
        <w:rPr>
          <w:sz w:val="20"/>
          <w:lang w:val="en-GB"/>
        </w:rPr>
        <w:t xml:space="preserve"> </w:t>
      </w:r>
      <w:r w:rsidR="004D4453" w:rsidRPr="00F51D71">
        <w:rPr>
          <w:i/>
          <w:sz w:val="20"/>
          <w:lang w:val="en-GB"/>
        </w:rPr>
        <w:t>The application of life cycle assessment to integrated waste management. Part 1. Methodology,</w:t>
      </w:r>
      <w:r w:rsidR="004D4453" w:rsidRPr="004D4453">
        <w:rPr>
          <w:sz w:val="20"/>
          <w:lang w:val="en-GB"/>
        </w:rPr>
        <w:t xml:space="preserve"> </w:t>
      </w:r>
      <w:r w:rsidRPr="00F51D71">
        <w:rPr>
          <w:sz w:val="20"/>
        </w:rPr>
        <w:t>Chemical Engineering Research &amp; Design</w:t>
      </w:r>
      <w:r>
        <w:rPr>
          <w:sz w:val="20"/>
        </w:rPr>
        <w:t>,</w:t>
      </w:r>
      <w:r w:rsidRPr="00F51D71">
        <w:rPr>
          <w:sz w:val="20"/>
          <w:lang w:val="en-GB"/>
        </w:rPr>
        <w:t xml:space="preserve"> </w:t>
      </w:r>
      <w:r w:rsidR="004D4453" w:rsidRPr="004D4453">
        <w:rPr>
          <w:sz w:val="20"/>
          <w:lang w:val="en-GB"/>
        </w:rPr>
        <w:t>2000</w:t>
      </w:r>
      <w:r>
        <w:rPr>
          <w:sz w:val="20"/>
          <w:lang w:val="en-GB"/>
        </w:rPr>
        <w:t>, vol.</w:t>
      </w:r>
      <w:r w:rsidR="004D4453" w:rsidRPr="004D4453">
        <w:rPr>
          <w:sz w:val="20"/>
          <w:lang w:val="en-GB"/>
        </w:rPr>
        <w:t>78(B)</w:t>
      </w:r>
      <w:r>
        <w:rPr>
          <w:sz w:val="20"/>
          <w:lang w:val="en-GB"/>
        </w:rPr>
        <w:t>, pp.</w:t>
      </w:r>
      <w:r w:rsidR="004D4453" w:rsidRPr="004D4453">
        <w:rPr>
          <w:sz w:val="20"/>
          <w:lang w:val="en-GB"/>
        </w:rPr>
        <w:t>279–87.</w:t>
      </w:r>
    </w:p>
    <w:p w:rsidR="004D4453" w:rsidRPr="004D4453" w:rsidRDefault="00F51D71" w:rsidP="00371BDC">
      <w:pPr>
        <w:numPr>
          <w:ilvl w:val="0"/>
          <w:numId w:val="1"/>
        </w:numPr>
        <w:tabs>
          <w:tab w:val="clear" w:pos="720"/>
          <w:tab w:val="num" w:pos="284"/>
        </w:tabs>
        <w:ind w:left="284" w:hanging="284"/>
        <w:rPr>
          <w:sz w:val="20"/>
          <w:lang w:val="en-GB"/>
        </w:rPr>
      </w:pPr>
      <w:r w:rsidRPr="004D4453">
        <w:rPr>
          <w:sz w:val="20"/>
        </w:rPr>
        <w:t>MANFREDI S</w:t>
      </w:r>
      <w:r>
        <w:rPr>
          <w:sz w:val="20"/>
        </w:rPr>
        <w:t>.</w:t>
      </w:r>
      <w:r w:rsidRPr="004D4453">
        <w:rPr>
          <w:sz w:val="20"/>
        </w:rPr>
        <w:t>, GORALCZYK M</w:t>
      </w:r>
      <w:r w:rsidR="004D4453" w:rsidRPr="004D4453">
        <w:rPr>
          <w:sz w:val="20"/>
        </w:rPr>
        <w:t>.</w:t>
      </w:r>
      <w:r>
        <w:rPr>
          <w:sz w:val="20"/>
        </w:rPr>
        <w:t>:</w:t>
      </w:r>
      <w:r w:rsidR="004D4453" w:rsidRPr="004D4453">
        <w:rPr>
          <w:sz w:val="20"/>
        </w:rPr>
        <w:t xml:space="preserve"> </w:t>
      </w:r>
      <w:r w:rsidR="004D4453" w:rsidRPr="00F51D71">
        <w:rPr>
          <w:i/>
          <w:sz w:val="20"/>
        </w:rPr>
        <w:t>Life cycle indicators for monitoring the environmental performance of European waste management.</w:t>
      </w:r>
      <w:r w:rsidR="004D4453" w:rsidRPr="004D4453">
        <w:rPr>
          <w:sz w:val="20"/>
        </w:rPr>
        <w:t xml:space="preserve"> Resour</w:t>
      </w:r>
      <w:r>
        <w:rPr>
          <w:sz w:val="20"/>
        </w:rPr>
        <w:t>ce</w:t>
      </w:r>
      <w:r w:rsidR="004D4453" w:rsidRPr="004D4453">
        <w:rPr>
          <w:sz w:val="20"/>
        </w:rPr>
        <w:t xml:space="preserve"> Conserv</w:t>
      </w:r>
      <w:r>
        <w:rPr>
          <w:sz w:val="20"/>
        </w:rPr>
        <w:t>ation&amp;</w:t>
      </w:r>
      <w:r w:rsidR="004D4453" w:rsidRPr="004D4453">
        <w:rPr>
          <w:sz w:val="20"/>
        </w:rPr>
        <w:t xml:space="preserve"> Recy</w:t>
      </w:r>
      <w:r>
        <w:rPr>
          <w:sz w:val="20"/>
        </w:rPr>
        <w:t>cling,</w:t>
      </w:r>
      <w:r w:rsidR="004D4453" w:rsidRPr="004D4453">
        <w:rPr>
          <w:sz w:val="20"/>
        </w:rPr>
        <w:t xml:space="preserve"> 2013</w:t>
      </w:r>
      <w:r>
        <w:rPr>
          <w:sz w:val="20"/>
        </w:rPr>
        <w:t>, vol.</w:t>
      </w:r>
      <w:r w:rsidR="004D4453" w:rsidRPr="004D4453">
        <w:rPr>
          <w:sz w:val="20"/>
        </w:rPr>
        <w:t>81</w:t>
      </w:r>
      <w:r>
        <w:rPr>
          <w:sz w:val="20"/>
        </w:rPr>
        <w:t>, pp.</w:t>
      </w:r>
      <w:r w:rsidR="004D4453" w:rsidRPr="004D4453">
        <w:rPr>
          <w:sz w:val="20"/>
        </w:rPr>
        <w:t>8– 16.</w:t>
      </w:r>
    </w:p>
    <w:p w:rsidR="004D4453" w:rsidRPr="004D4453" w:rsidRDefault="00F51D71" w:rsidP="00710F5C">
      <w:pPr>
        <w:numPr>
          <w:ilvl w:val="0"/>
          <w:numId w:val="1"/>
        </w:numPr>
        <w:tabs>
          <w:tab w:val="clear" w:pos="720"/>
          <w:tab w:val="num" w:pos="142"/>
          <w:tab w:val="left" w:pos="284"/>
        </w:tabs>
        <w:ind w:left="284" w:hanging="284"/>
        <w:rPr>
          <w:sz w:val="20"/>
        </w:rPr>
      </w:pPr>
      <w:r w:rsidRPr="004D4453">
        <w:rPr>
          <w:sz w:val="20"/>
        </w:rPr>
        <w:t>BUTTOL P</w:t>
      </w:r>
      <w:r>
        <w:rPr>
          <w:sz w:val="20"/>
        </w:rPr>
        <w:t>.</w:t>
      </w:r>
      <w:r w:rsidRPr="004D4453">
        <w:rPr>
          <w:sz w:val="20"/>
        </w:rPr>
        <w:t>, MASONI P</w:t>
      </w:r>
      <w:r>
        <w:rPr>
          <w:sz w:val="20"/>
        </w:rPr>
        <w:t>.</w:t>
      </w:r>
      <w:r w:rsidRPr="004D4453">
        <w:rPr>
          <w:sz w:val="20"/>
        </w:rPr>
        <w:t>, BONOLI A</w:t>
      </w:r>
      <w:r>
        <w:rPr>
          <w:sz w:val="20"/>
        </w:rPr>
        <w:t>.</w:t>
      </w:r>
      <w:r w:rsidRPr="004D4453">
        <w:rPr>
          <w:sz w:val="20"/>
        </w:rPr>
        <w:t>, GOLDONI S</w:t>
      </w:r>
      <w:r>
        <w:rPr>
          <w:sz w:val="20"/>
        </w:rPr>
        <w:t>.</w:t>
      </w:r>
      <w:r w:rsidRPr="004D4453">
        <w:rPr>
          <w:sz w:val="20"/>
        </w:rPr>
        <w:t>, BELLADONNA V</w:t>
      </w:r>
      <w:r>
        <w:rPr>
          <w:sz w:val="20"/>
        </w:rPr>
        <w:t>.</w:t>
      </w:r>
      <w:r w:rsidRPr="004D4453">
        <w:rPr>
          <w:sz w:val="20"/>
        </w:rPr>
        <w:t>, CAVAZZUTI C</w:t>
      </w:r>
      <w:r w:rsidR="004D4453" w:rsidRPr="004D4453">
        <w:rPr>
          <w:sz w:val="20"/>
        </w:rPr>
        <w:t>.</w:t>
      </w:r>
      <w:r>
        <w:rPr>
          <w:sz w:val="20"/>
        </w:rPr>
        <w:t>:</w:t>
      </w:r>
      <w:r w:rsidR="004D4453" w:rsidRPr="004D4453">
        <w:rPr>
          <w:sz w:val="20"/>
        </w:rPr>
        <w:t xml:space="preserve"> </w:t>
      </w:r>
      <w:r w:rsidR="004D4453" w:rsidRPr="00F51D71">
        <w:rPr>
          <w:i/>
          <w:sz w:val="20"/>
        </w:rPr>
        <w:t>LCA of integrated MSW management systems: Case study of the Bologna District</w:t>
      </w:r>
      <w:r>
        <w:rPr>
          <w:i/>
          <w:sz w:val="20"/>
        </w:rPr>
        <w:t>,</w:t>
      </w:r>
      <w:r w:rsidR="004D4453" w:rsidRPr="004D4453">
        <w:rPr>
          <w:sz w:val="20"/>
        </w:rPr>
        <w:t xml:space="preserve"> Waste Manage</w:t>
      </w:r>
      <w:r w:rsidR="008C0104">
        <w:rPr>
          <w:sz w:val="20"/>
        </w:rPr>
        <w:t>ment,</w:t>
      </w:r>
      <w:r w:rsidR="004D4453" w:rsidRPr="004D4453">
        <w:rPr>
          <w:sz w:val="20"/>
        </w:rPr>
        <w:t xml:space="preserve"> 2007</w:t>
      </w:r>
      <w:r w:rsidR="008C0104">
        <w:rPr>
          <w:sz w:val="20"/>
        </w:rPr>
        <w:t>, vol.</w:t>
      </w:r>
      <w:r w:rsidR="004D4453" w:rsidRPr="004D4453">
        <w:rPr>
          <w:sz w:val="20"/>
        </w:rPr>
        <w:t>27</w:t>
      </w:r>
      <w:r w:rsidR="008C0104">
        <w:rPr>
          <w:sz w:val="20"/>
        </w:rPr>
        <w:t>, pp.</w:t>
      </w:r>
      <w:r w:rsidR="004D4453" w:rsidRPr="004D4453">
        <w:rPr>
          <w:sz w:val="20"/>
        </w:rPr>
        <w:t>1059–1070.</w:t>
      </w:r>
    </w:p>
    <w:p w:rsidR="004D4453" w:rsidRPr="004D4453" w:rsidRDefault="008C0104" w:rsidP="00710F5C">
      <w:pPr>
        <w:numPr>
          <w:ilvl w:val="0"/>
          <w:numId w:val="1"/>
        </w:numPr>
        <w:tabs>
          <w:tab w:val="clear" w:pos="720"/>
          <w:tab w:val="num" w:pos="142"/>
          <w:tab w:val="left" w:pos="284"/>
        </w:tabs>
        <w:ind w:left="284" w:hanging="284"/>
        <w:rPr>
          <w:sz w:val="20"/>
        </w:rPr>
      </w:pPr>
      <w:r w:rsidRPr="004D4453">
        <w:rPr>
          <w:sz w:val="20"/>
        </w:rPr>
        <w:t>CHERUBINI F</w:t>
      </w:r>
      <w:r>
        <w:rPr>
          <w:sz w:val="20"/>
        </w:rPr>
        <w:t>.</w:t>
      </w:r>
      <w:r w:rsidRPr="004D4453">
        <w:rPr>
          <w:sz w:val="20"/>
        </w:rPr>
        <w:t>, BARGIGLI S</w:t>
      </w:r>
      <w:r>
        <w:rPr>
          <w:sz w:val="20"/>
        </w:rPr>
        <w:t>.</w:t>
      </w:r>
      <w:r w:rsidRPr="004D4453">
        <w:rPr>
          <w:sz w:val="20"/>
        </w:rPr>
        <w:t>, ULGIATI S</w:t>
      </w:r>
      <w:r w:rsidR="004D4453" w:rsidRPr="004D4453">
        <w:rPr>
          <w:sz w:val="20"/>
        </w:rPr>
        <w:t>.</w:t>
      </w:r>
      <w:r>
        <w:rPr>
          <w:sz w:val="20"/>
        </w:rPr>
        <w:t>:</w:t>
      </w:r>
      <w:r w:rsidR="004D4453" w:rsidRPr="004D4453">
        <w:rPr>
          <w:sz w:val="20"/>
        </w:rPr>
        <w:t xml:space="preserve"> </w:t>
      </w:r>
      <w:r w:rsidR="004D4453" w:rsidRPr="008C0104">
        <w:rPr>
          <w:i/>
          <w:sz w:val="20"/>
        </w:rPr>
        <w:t>Life cycle assessment (LCA) of waste management strategies: Landfilling, sorting plant and incineration</w:t>
      </w:r>
      <w:r>
        <w:rPr>
          <w:sz w:val="20"/>
        </w:rPr>
        <w:t>,</w:t>
      </w:r>
      <w:r w:rsidR="004D4453" w:rsidRPr="004D4453">
        <w:rPr>
          <w:sz w:val="20"/>
        </w:rPr>
        <w:t xml:space="preserve"> Energy</w:t>
      </w:r>
      <w:r>
        <w:rPr>
          <w:sz w:val="20"/>
        </w:rPr>
        <w:t>,</w:t>
      </w:r>
      <w:r w:rsidR="004D4453" w:rsidRPr="004D4453">
        <w:rPr>
          <w:sz w:val="20"/>
        </w:rPr>
        <w:t xml:space="preserve"> 2009</w:t>
      </w:r>
      <w:r>
        <w:rPr>
          <w:sz w:val="20"/>
        </w:rPr>
        <w:t>, vol.</w:t>
      </w:r>
      <w:r w:rsidR="004D4453" w:rsidRPr="004D4453">
        <w:rPr>
          <w:sz w:val="20"/>
        </w:rPr>
        <w:t>34</w:t>
      </w:r>
      <w:r>
        <w:rPr>
          <w:sz w:val="20"/>
        </w:rPr>
        <w:t>, pp.</w:t>
      </w:r>
      <w:r w:rsidR="004D4453" w:rsidRPr="004D4453">
        <w:rPr>
          <w:sz w:val="20"/>
        </w:rPr>
        <w:t>2116–2123.</w:t>
      </w:r>
    </w:p>
    <w:p w:rsidR="004D4453" w:rsidRDefault="008C0104" w:rsidP="00710F5C">
      <w:pPr>
        <w:numPr>
          <w:ilvl w:val="0"/>
          <w:numId w:val="1"/>
        </w:numPr>
        <w:tabs>
          <w:tab w:val="clear" w:pos="720"/>
          <w:tab w:val="num" w:pos="142"/>
          <w:tab w:val="left" w:pos="284"/>
        </w:tabs>
        <w:ind w:left="284" w:hanging="284"/>
        <w:rPr>
          <w:sz w:val="20"/>
        </w:rPr>
      </w:pPr>
      <w:r w:rsidRPr="004D4453">
        <w:rPr>
          <w:sz w:val="20"/>
        </w:rPr>
        <w:t>PARKES O</w:t>
      </w:r>
      <w:r>
        <w:rPr>
          <w:sz w:val="20"/>
        </w:rPr>
        <w:t>.</w:t>
      </w:r>
      <w:r w:rsidRPr="004D4453">
        <w:rPr>
          <w:sz w:val="20"/>
        </w:rPr>
        <w:t>, LETTIERI P</w:t>
      </w:r>
      <w:r>
        <w:rPr>
          <w:sz w:val="20"/>
        </w:rPr>
        <w:t>.</w:t>
      </w:r>
      <w:r w:rsidRPr="004D4453">
        <w:rPr>
          <w:sz w:val="20"/>
        </w:rPr>
        <w:t>, BOGLE I</w:t>
      </w:r>
      <w:r>
        <w:rPr>
          <w:sz w:val="20"/>
        </w:rPr>
        <w:t>.</w:t>
      </w:r>
      <w:r w:rsidRPr="004D4453">
        <w:rPr>
          <w:sz w:val="20"/>
        </w:rPr>
        <w:t>D</w:t>
      </w:r>
      <w:r>
        <w:rPr>
          <w:sz w:val="20"/>
        </w:rPr>
        <w:t>.</w:t>
      </w:r>
      <w:r w:rsidRPr="004D4453">
        <w:rPr>
          <w:sz w:val="20"/>
        </w:rPr>
        <w:t>L</w:t>
      </w:r>
      <w:r w:rsidR="004D4453" w:rsidRPr="004D4453">
        <w:rPr>
          <w:sz w:val="20"/>
        </w:rPr>
        <w:t>.</w:t>
      </w:r>
      <w:r>
        <w:rPr>
          <w:sz w:val="20"/>
        </w:rPr>
        <w:t>:</w:t>
      </w:r>
      <w:r w:rsidR="004D4453" w:rsidRPr="004D4453">
        <w:rPr>
          <w:sz w:val="20"/>
        </w:rPr>
        <w:t xml:space="preserve"> </w:t>
      </w:r>
      <w:r w:rsidR="004D4453" w:rsidRPr="008C0104">
        <w:rPr>
          <w:i/>
          <w:sz w:val="20"/>
        </w:rPr>
        <w:t>Life cycle assessment of integrated waste management systems for alternative legacy scenarios of the London Olympic Park</w:t>
      </w:r>
      <w:r w:rsidR="004D4453" w:rsidRPr="004D4453">
        <w:rPr>
          <w:sz w:val="20"/>
        </w:rPr>
        <w:t>. Waste Manage</w:t>
      </w:r>
      <w:r>
        <w:rPr>
          <w:sz w:val="20"/>
        </w:rPr>
        <w:t>ment,</w:t>
      </w:r>
      <w:r w:rsidR="004D4453" w:rsidRPr="004D4453">
        <w:rPr>
          <w:sz w:val="20"/>
        </w:rPr>
        <w:t xml:space="preserve"> 2015</w:t>
      </w:r>
      <w:r>
        <w:rPr>
          <w:sz w:val="20"/>
        </w:rPr>
        <w:t>, vol.</w:t>
      </w:r>
      <w:r w:rsidR="004D4453" w:rsidRPr="004D4453">
        <w:rPr>
          <w:sz w:val="20"/>
        </w:rPr>
        <w:t>40</w:t>
      </w:r>
      <w:r>
        <w:rPr>
          <w:sz w:val="20"/>
        </w:rPr>
        <w:t>, pp.</w:t>
      </w:r>
      <w:r w:rsidR="004D4453" w:rsidRPr="004D4453">
        <w:rPr>
          <w:sz w:val="20"/>
        </w:rPr>
        <w:t>157</w:t>
      </w:r>
      <w:r w:rsidR="004D4453" w:rsidRPr="004D4453">
        <w:rPr>
          <w:rFonts w:hint="eastAsia"/>
          <w:sz w:val="20"/>
        </w:rPr>
        <w:t>–</w:t>
      </w:r>
      <w:r w:rsidR="004D4453" w:rsidRPr="004D4453">
        <w:rPr>
          <w:sz w:val="20"/>
        </w:rPr>
        <w:t>166.</w:t>
      </w:r>
    </w:p>
    <w:p w:rsidR="004D4453" w:rsidRDefault="008C0104" w:rsidP="00710F5C">
      <w:pPr>
        <w:numPr>
          <w:ilvl w:val="0"/>
          <w:numId w:val="1"/>
        </w:numPr>
        <w:tabs>
          <w:tab w:val="clear" w:pos="720"/>
          <w:tab w:val="num" w:pos="142"/>
          <w:tab w:val="left" w:pos="284"/>
        </w:tabs>
        <w:ind w:left="284" w:hanging="284"/>
        <w:rPr>
          <w:sz w:val="20"/>
        </w:rPr>
      </w:pPr>
      <w:r w:rsidRPr="004D4453">
        <w:rPr>
          <w:sz w:val="20"/>
        </w:rPr>
        <w:t>TARANTINI M</w:t>
      </w:r>
      <w:r>
        <w:rPr>
          <w:sz w:val="20"/>
        </w:rPr>
        <w:t>.</w:t>
      </w:r>
      <w:r w:rsidRPr="004D4453">
        <w:rPr>
          <w:sz w:val="20"/>
        </w:rPr>
        <w:t>, LOPRIENO A</w:t>
      </w:r>
      <w:r>
        <w:rPr>
          <w:sz w:val="20"/>
        </w:rPr>
        <w:t>.</w:t>
      </w:r>
      <w:r w:rsidRPr="004D4453">
        <w:rPr>
          <w:sz w:val="20"/>
        </w:rPr>
        <w:t>D</w:t>
      </w:r>
      <w:r>
        <w:rPr>
          <w:sz w:val="20"/>
        </w:rPr>
        <w:t>.</w:t>
      </w:r>
      <w:r w:rsidRPr="004D4453">
        <w:rPr>
          <w:sz w:val="20"/>
        </w:rPr>
        <w:t>, CUCCHI E</w:t>
      </w:r>
      <w:r>
        <w:rPr>
          <w:sz w:val="20"/>
        </w:rPr>
        <w:t>.</w:t>
      </w:r>
      <w:r w:rsidRPr="004D4453">
        <w:rPr>
          <w:sz w:val="20"/>
        </w:rPr>
        <w:t>, FRENQUELLUCCI F.</w:t>
      </w:r>
      <w:r>
        <w:rPr>
          <w:sz w:val="20"/>
        </w:rPr>
        <w:t>:</w:t>
      </w:r>
      <w:r w:rsidRPr="004D4453">
        <w:rPr>
          <w:sz w:val="20"/>
        </w:rPr>
        <w:t xml:space="preserve"> </w:t>
      </w:r>
      <w:r w:rsidR="004D4453" w:rsidRPr="008C0104">
        <w:rPr>
          <w:i/>
          <w:sz w:val="20"/>
        </w:rPr>
        <w:t>Life Cycle Assessment of waste management systems in Italian industrial areas: Case study of 1st Macrolotto of Prato</w:t>
      </w:r>
      <w:r>
        <w:rPr>
          <w:sz w:val="20"/>
        </w:rPr>
        <w:t>,</w:t>
      </w:r>
      <w:r w:rsidR="004D4453" w:rsidRPr="004D4453">
        <w:rPr>
          <w:sz w:val="20"/>
        </w:rPr>
        <w:t xml:space="preserve"> Energy</w:t>
      </w:r>
      <w:r>
        <w:rPr>
          <w:sz w:val="20"/>
        </w:rPr>
        <w:t>,</w:t>
      </w:r>
      <w:r w:rsidR="004D4453" w:rsidRPr="004D4453">
        <w:rPr>
          <w:sz w:val="20"/>
        </w:rPr>
        <w:t xml:space="preserve"> 200</w:t>
      </w:r>
      <w:r>
        <w:rPr>
          <w:sz w:val="20"/>
        </w:rPr>
        <w:t>, vol.</w:t>
      </w:r>
      <w:r w:rsidR="004D4453" w:rsidRPr="004D4453">
        <w:rPr>
          <w:sz w:val="20"/>
        </w:rPr>
        <w:t>;34</w:t>
      </w:r>
      <w:r>
        <w:rPr>
          <w:sz w:val="20"/>
        </w:rPr>
        <w:t>, pp.</w:t>
      </w:r>
      <w:r w:rsidR="004D4453" w:rsidRPr="004D4453">
        <w:rPr>
          <w:sz w:val="20"/>
        </w:rPr>
        <w:t>613–622.</w:t>
      </w:r>
    </w:p>
    <w:p w:rsidR="004D4453" w:rsidRPr="004D4453" w:rsidRDefault="008C0104" w:rsidP="00710F5C">
      <w:pPr>
        <w:numPr>
          <w:ilvl w:val="0"/>
          <w:numId w:val="1"/>
        </w:numPr>
        <w:tabs>
          <w:tab w:val="clear" w:pos="720"/>
          <w:tab w:val="num" w:pos="142"/>
          <w:tab w:val="left" w:pos="284"/>
        </w:tabs>
        <w:ind w:left="284" w:hanging="284"/>
        <w:rPr>
          <w:sz w:val="20"/>
        </w:rPr>
      </w:pPr>
      <w:r w:rsidRPr="004D4453">
        <w:rPr>
          <w:sz w:val="20"/>
        </w:rPr>
        <w:t>WHITING A</w:t>
      </w:r>
      <w:r>
        <w:rPr>
          <w:sz w:val="20"/>
        </w:rPr>
        <w:t>.</w:t>
      </w:r>
      <w:r w:rsidRPr="004D4453">
        <w:rPr>
          <w:sz w:val="20"/>
        </w:rPr>
        <w:t>, AZAPAGIC A</w:t>
      </w:r>
      <w:r w:rsidR="004D4453" w:rsidRPr="004D4453">
        <w:rPr>
          <w:sz w:val="20"/>
        </w:rPr>
        <w:t>.</w:t>
      </w:r>
      <w:r>
        <w:rPr>
          <w:sz w:val="20"/>
        </w:rPr>
        <w:t>:</w:t>
      </w:r>
      <w:r w:rsidR="004D4453" w:rsidRPr="004D4453">
        <w:rPr>
          <w:sz w:val="20"/>
        </w:rPr>
        <w:t xml:space="preserve"> </w:t>
      </w:r>
      <w:r w:rsidR="004D4453" w:rsidRPr="008C0104">
        <w:rPr>
          <w:i/>
          <w:sz w:val="20"/>
        </w:rPr>
        <w:t>Life cycle environmental impacts of generating electricity and heat from biogas produced by anaerobic digestion</w:t>
      </w:r>
      <w:r>
        <w:rPr>
          <w:i/>
          <w:sz w:val="20"/>
        </w:rPr>
        <w:t>,</w:t>
      </w:r>
      <w:r w:rsidR="004D4453" w:rsidRPr="004D4453">
        <w:rPr>
          <w:sz w:val="20"/>
        </w:rPr>
        <w:t xml:space="preserve"> Energy</w:t>
      </w:r>
      <w:r>
        <w:rPr>
          <w:sz w:val="20"/>
        </w:rPr>
        <w:t>,</w:t>
      </w:r>
      <w:r w:rsidR="004D4453" w:rsidRPr="004D4453">
        <w:rPr>
          <w:sz w:val="20"/>
        </w:rPr>
        <w:t xml:space="preserve"> 2014</w:t>
      </w:r>
      <w:r>
        <w:rPr>
          <w:sz w:val="20"/>
        </w:rPr>
        <w:t>, vol.</w:t>
      </w:r>
      <w:r w:rsidR="004D4453" w:rsidRPr="004D4453">
        <w:rPr>
          <w:sz w:val="20"/>
        </w:rPr>
        <w:t>70</w:t>
      </w:r>
      <w:r>
        <w:rPr>
          <w:sz w:val="20"/>
        </w:rPr>
        <w:t>, pp.</w:t>
      </w:r>
      <w:r w:rsidR="004D4453" w:rsidRPr="004D4453">
        <w:rPr>
          <w:sz w:val="20"/>
        </w:rPr>
        <w:t>181-193.</w:t>
      </w:r>
    </w:p>
    <w:p w:rsidR="004D4453" w:rsidRDefault="008C0104" w:rsidP="00710F5C">
      <w:pPr>
        <w:numPr>
          <w:ilvl w:val="0"/>
          <w:numId w:val="1"/>
        </w:numPr>
        <w:tabs>
          <w:tab w:val="clear" w:pos="720"/>
          <w:tab w:val="num" w:pos="142"/>
          <w:tab w:val="left" w:pos="284"/>
        </w:tabs>
        <w:ind w:left="284" w:hanging="284"/>
        <w:rPr>
          <w:sz w:val="20"/>
        </w:rPr>
      </w:pPr>
      <w:r w:rsidRPr="004D4453">
        <w:rPr>
          <w:sz w:val="20"/>
        </w:rPr>
        <w:t>MILUTINOVIĆ B</w:t>
      </w:r>
      <w:r>
        <w:rPr>
          <w:sz w:val="20"/>
        </w:rPr>
        <w:t>.</w:t>
      </w:r>
      <w:r w:rsidRPr="004D4453">
        <w:rPr>
          <w:sz w:val="20"/>
        </w:rPr>
        <w:t>, STEFANOVIĆ G</w:t>
      </w:r>
      <w:r>
        <w:rPr>
          <w:sz w:val="20"/>
        </w:rPr>
        <w:t>.</w:t>
      </w:r>
      <w:r w:rsidRPr="004D4453">
        <w:rPr>
          <w:sz w:val="20"/>
        </w:rPr>
        <w:t>, DASSISTI M</w:t>
      </w:r>
      <w:r>
        <w:rPr>
          <w:sz w:val="20"/>
        </w:rPr>
        <w:t>.</w:t>
      </w:r>
      <w:r w:rsidRPr="004D4453">
        <w:rPr>
          <w:sz w:val="20"/>
        </w:rPr>
        <w:t>, MARKOVIĆ D</w:t>
      </w:r>
      <w:r>
        <w:rPr>
          <w:sz w:val="20"/>
        </w:rPr>
        <w:t>.</w:t>
      </w:r>
      <w:r w:rsidRPr="004D4453">
        <w:rPr>
          <w:sz w:val="20"/>
        </w:rPr>
        <w:t>, VUČKOVIĆ G</w:t>
      </w:r>
      <w:r w:rsidR="004D4453" w:rsidRPr="004D4453">
        <w:rPr>
          <w:sz w:val="20"/>
        </w:rPr>
        <w:t>.</w:t>
      </w:r>
      <w:r>
        <w:rPr>
          <w:sz w:val="20"/>
        </w:rPr>
        <w:t>:</w:t>
      </w:r>
      <w:r w:rsidR="004D4453" w:rsidRPr="004D4453">
        <w:rPr>
          <w:sz w:val="20"/>
        </w:rPr>
        <w:t xml:space="preserve"> </w:t>
      </w:r>
      <w:r w:rsidR="004D4453" w:rsidRPr="008C0104">
        <w:rPr>
          <w:i/>
          <w:sz w:val="20"/>
        </w:rPr>
        <w:t>Multi-criteria analysis as a tool for sustainability assessment of a waste management model</w:t>
      </w:r>
      <w:r>
        <w:rPr>
          <w:sz w:val="20"/>
        </w:rPr>
        <w:t>,</w:t>
      </w:r>
      <w:r w:rsidR="004D4453" w:rsidRPr="004D4453">
        <w:rPr>
          <w:sz w:val="20"/>
        </w:rPr>
        <w:t xml:space="preserve"> Energy</w:t>
      </w:r>
      <w:r>
        <w:rPr>
          <w:sz w:val="20"/>
        </w:rPr>
        <w:t>,</w:t>
      </w:r>
      <w:r w:rsidR="004D4453" w:rsidRPr="004D4453">
        <w:rPr>
          <w:sz w:val="20"/>
        </w:rPr>
        <w:t xml:space="preserve"> 2014</w:t>
      </w:r>
      <w:r>
        <w:rPr>
          <w:sz w:val="20"/>
        </w:rPr>
        <w:t>, vol.</w:t>
      </w:r>
      <w:r w:rsidR="004D4453" w:rsidRPr="004D4453">
        <w:rPr>
          <w:sz w:val="20"/>
        </w:rPr>
        <w:t>74</w:t>
      </w:r>
      <w:r>
        <w:rPr>
          <w:sz w:val="20"/>
        </w:rPr>
        <w:t>, pp.</w:t>
      </w:r>
      <w:r w:rsidR="004D4453" w:rsidRPr="004D4453">
        <w:rPr>
          <w:sz w:val="20"/>
        </w:rPr>
        <w:t>190-201.</w:t>
      </w:r>
    </w:p>
    <w:p w:rsidR="004D4453" w:rsidRPr="004D4453" w:rsidRDefault="004D4453" w:rsidP="00710F5C">
      <w:pPr>
        <w:numPr>
          <w:ilvl w:val="0"/>
          <w:numId w:val="1"/>
        </w:numPr>
        <w:tabs>
          <w:tab w:val="clear" w:pos="720"/>
          <w:tab w:val="num" w:pos="142"/>
          <w:tab w:val="left" w:pos="284"/>
        </w:tabs>
        <w:ind w:left="284" w:hanging="284"/>
        <w:rPr>
          <w:sz w:val="20"/>
          <w:lang w:val="en-GB"/>
        </w:rPr>
      </w:pPr>
      <w:r w:rsidRPr="004D4453">
        <w:rPr>
          <w:sz w:val="20"/>
          <w:lang w:val="en-GB"/>
        </w:rPr>
        <w:t xml:space="preserve">ISO 14040:2006. </w:t>
      </w:r>
      <w:r w:rsidRPr="008C0104">
        <w:rPr>
          <w:i/>
          <w:sz w:val="20"/>
          <w:lang w:val="en-GB"/>
        </w:rPr>
        <w:t>Environmental management – life cycle assessment – principles and framework</w:t>
      </w:r>
      <w:r w:rsidRPr="004D4453">
        <w:rPr>
          <w:sz w:val="20"/>
          <w:lang w:val="en-GB"/>
        </w:rPr>
        <w:t>. Geneva, Switzerland: International Standards Organization, 2006.</w:t>
      </w:r>
    </w:p>
    <w:p w:rsidR="004D4453" w:rsidRPr="004D4453" w:rsidRDefault="008C0104" w:rsidP="00710F5C">
      <w:pPr>
        <w:numPr>
          <w:ilvl w:val="0"/>
          <w:numId w:val="1"/>
        </w:numPr>
        <w:tabs>
          <w:tab w:val="clear" w:pos="720"/>
          <w:tab w:val="num" w:pos="142"/>
          <w:tab w:val="left" w:pos="284"/>
        </w:tabs>
        <w:ind w:left="284" w:hanging="284"/>
        <w:rPr>
          <w:sz w:val="20"/>
          <w:lang w:val="en-GB"/>
        </w:rPr>
      </w:pPr>
      <w:r w:rsidRPr="004D4453">
        <w:rPr>
          <w:sz w:val="20"/>
          <w:lang w:val="en-GB"/>
        </w:rPr>
        <w:t>CONSOLI F</w:t>
      </w:r>
      <w:r>
        <w:rPr>
          <w:sz w:val="20"/>
          <w:lang w:val="en-GB"/>
        </w:rPr>
        <w:t>.</w:t>
      </w:r>
      <w:r w:rsidRPr="004D4453">
        <w:rPr>
          <w:sz w:val="20"/>
          <w:lang w:val="en-GB"/>
        </w:rPr>
        <w:t>, ALLEN D</w:t>
      </w:r>
      <w:r>
        <w:rPr>
          <w:sz w:val="20"/>
          <w:lang w:val="en-GB"/>
        </w:rPr>
        <w:t>.</w:t>
      </w:r>
      <w:r w:rsidRPr="004D4453">
        <w:rPr>
          <w:sz w:val="20"/>
          <w:lang w:val="en-GB"/>
        </w:rPr>
        <w:t>, BOUSTEAD I</w:t>
      </w:r>
      <w:r>
        <w:rPr>
          <w:sz w:val="20"/>
          <w:lang w:val="en-GB"/>
        </w:rPr>
        <w:t>.</w:t>
      </w:r>
      <w:r w:rsidRPr="004D4453">
        <w:rPr>
          <w:sz w:val="20"/>
          <w:lang w:val="en-GB"/>
        </w:rPr>
        <w:t>, FAVA J</w:t>
      </w:r>
      <w:r>
        <w:rPr>
          <w:sz w:val="20"/>
          <w:lang w:val="en-GB"/>
        </w:rPr>
        <w:t>.</w:t>
      </w:r>
      <w:r w:rsidRPr="004D4453">
        <w:rPr>
          <w:sz w:val="20"/>
          <w:lang w:val="en-GB"/>
        </w:rPr>
        <w:t>, FRANKLIN</w:t>
      </w:r>
      <w:r>
        <w:rPr>
          <w:sz w:val="20"/>
          <w:lang w:val="en-GB"/>
        </w:rPr>
        <w:t xml:space="preserve"> </w:t>
      </w:r>
      <w:r w:rsidRPr="004D4453">
        <w:rPr>
          <w:sz w:val="20"/>
          <w:lang w:val="en-GB"/>
        </w:rPr>
        <w:t>W</w:t>
      </w:r>
      <w:r>
        <w:rPr>
          <w:sz w:val="20"/>
          <w:lang w:val="en-GB"/>
        </w:rPr>
        <w:t>.</w:t>
      </w:r>
      <w:r w:rsidRPr="004D4453">
        <w:rPr>
          <w:sz w:val="20"/>
          <w:lang w:val="en-GB"/>
        </w:rPr>
        <w:t>, JENSEN A</w:t>
      </w:r>
      <w:r>
        <w:rPr>
          <w:sz w:val="20"/>
          <w:lang w:val="en-GB"/>
        </w:rPr>
        <w:t>.</w:t>
      </w:r>
      <w:r w:rsidRPr="004D4453">
        <w:rPr>
          <w:sz w:val="20"/>
          <w:lang w:val="en-GB"/>
        </w:rPr>
        <w:t>A</w:t>
      </w:r>
      <w:r w:rsidR="004D4453" w:rsidRPr="004D4453">
        <w:rPr>
          <w:sz w:val="20"/>
          <w:lang w:val="en-GB"/>
        </w:rPr>
        <w:t>.</w:t>
      </w:r>
      <w:r>
        <w:rPr>
          <w:sz w:val="20"/>
          <w:lang w:val="en-GB"/>
        </w:rPr>
        <w:t>:</w:t>
      </w:r>
      <w:r w:rsidR="004D4453" w:rsidRPr="004D4453">
        <w:rPr>
          <w:sz w:val="20"/>
          <w:lang w:val="en-GB"/>
        </w:rPr>
        <w:t xml:space="preserve"> </w:t>
      </w:r>
      <w:r w:rsidR="004D4453" w:rsidRPr="008C0104">
        <w:rPr>
          <w:i/>
          <w:sz w:val="20"/>
          <w:lang w:val="en-GB"/>
        </w:rPr>
        <w:t>Guidelines for life-cycle assessment: a ‘Code of practice’</w:t>
      </w:r>
      <w:r w:rsidR="004D4453" w:rsidRPr="004D4453">
        <w:rPr>
          <w:sz w:val="20"/>
          <w:lang w:val="en-GB"/>
        </w:rPr>
        <w:t>. Society of Environmental Toxicology and Chemistry (SETAC); SETAC Workshop; 31 March–3 April 1993; Sesimbra, Portugal.</w:t>
      </w:r>
    </w:p>
    <w:p w:rsidR="004D4453" w:rsidRPr="004D4453" w:rsidRDefault="008C0104" w:rsidP="00710F5C">
      <w:pPr>
        <w:numPr>
          <w:ilvl w:val="0"/>
          <w:numId w:val="1"/>
        </w:numPr>
        <w:tabs>
          <w:tab w:val="clear" w:pos="720"/>
          <w:tab w:val="num" w:pos="142"/>
          <w:tab w:val="left" w:pos="284"/>
        </w:tabs>
        <w:ind w:left="284" w:hanging="284"/>
        <w:rPr>
          <w:sz w:val="20"/>
          <w:lang w:val="en-GB"/>
        </w:rPr>
      </w:pPr>
      <w:r w:rsidRPr="004D4453">
        <w:rPr>
          <w:sz w:val="20"/>
          <w:lang w:val="en-GB"/>
        </w:rPr>
        <w:t>FINNVEDEN G</w:t>
      </w:r>
      <w:r w:rsidR="004D4453" w:rsidRPr="004D4453">
        <w:rPr>
          <w:sz w:val="20"/>
          <w:lang w:val="en-GB"/>
        </w:rPr>
        <w:t>.</w:t>
      </w:r>
      <w:r>
        <w:rPr>
          <w:sz w:val="20"/>
          <w:lang w:val="en-GB"/>
        </w:rPr>
        <w:t>:</w:t>
      </w:r>
      <w:r w:rsidR="004D4453" w:rsidRPr="004D4453">
        <w:rPr>
          <w:sz w:val="20"/>
          <w:lang w:val="en-GB"/>
        </w:rPr>
        <w:t xml:space="preserve"> </w:t>
      </w:r>
      <w:r w:rsidR="004D4453" w:rsidRPr="008C0104">
        <w:rPr>
          <w:i/>
          <w:sz w:val="20"/>
          <w:lang w:val="en-GB"/>
        </w:rPr>
        <w:t>Methodological aspects of life cycle assessment of integrated solid waste management systems</w:t>
      </w:r>
      <w:r>
        <w:rPr>
          <w:sz w:val="20"/>
          <w:lang w:val="en-GB"/>
        </w:rPr>
        <w:t>,</w:t>
      </w:r>
      <w:r w:rsidR="004D4453" w:rsidRPr="004D4453">
        <w:rPr>
          <w:sz w:val="20"/>
          <w:lang w:val="en-GB"/>
        </w:rPr>
        <w:t xml:space="preserve"> Resour</w:t>
      </w:r>
      <w:r>
        <w:rPr>
          <w:sz w:val="20"/>
          <w:lang w:val="en-GB"/>
        </w:rPr>
        <w:t>ces</w:t>
      </w:r>
      <w:r w:rsidR="004D4453" w:rsidRPr="004D4453">
        <w:rPr>
          <w:sz w:val="20"/>
          <w:lang w:val="en-GB"/>
        </w:rPr>
        <w:t xml:space="preserve"> Conserv</w:t>
      </w:r>
      <w:r>
        <w:rPr>
          <w:sz w:val="20"/>
          <w:lang w:val="en-GB"/>
        </w:rPr>
        <w:t>ation&amp;</w:t>
      </w:r>
      <w:r w:rsidR="004D4453" w:rsidRPr="004D4453">
        <w:rPr>
          <w:sz w:val="20"/>
          <w:lang w:val="en-GB"/>
        </w:rPr>
        <w:t xml:space="preserve"> Recy</w:t>
      </w:r>
      <w:r>
        <w:rPr>
          <w:sz w:val="20"/>
          <w:lang w:val="en-GB"/>
        </w:rPr>
        <w:t>cling,</w:t>
      </w:r>
      <w:r w:rsidR="004D4453" w:rsidRPr="004D4453">
        <w:rPr>
          <w:sz w:val="20"/>
          <w:lang w:val="en-GB"/>
        </w:rPr>
        <w:t xml:space="preserve"> 1999</w:t>
      </w:r>
      <w:r>
        <w:rPr>
          <w:sz w:val="20"/>
          <w:lang w:val="en-GB"/>
        </w:rPr>
        <w:t>, vol.</w:t>
      </w:r>
      <w:r w:rsidR="004D4453" w:rsidRPr="004D4453">
        <w:rPr>
          <w:sz w:val="20"/>
          <w:lang w:val="en-GB"/>
        </w:rPr>
        <w:t>26</w:t>
      </w:r>
      <w:r>
        <w:rPr>
          <w:sz w:val="20"/>
          <w:lang w:val="en-GB"/>
        </w:rPr>
        <w:t>, pp.</w:t>
      </w:r>
      <w:r w:rsidR="004D4453" w:rsidRPr="004D4453">
        <w:rPr>
          <w:sz w:val="20"/>
          <w:lang w:val="en-GB"/>
        </w:rPr>
        <w:t>173–187.</w:t>
      </w:r>
    </w:p>
    <w:p w:rsidR="004D4453" w:rsidRPr="004D4453" w:rsidRDefault="008C0104" w:rsidP="00710F5C">
      <w:pPr>
        <w:numPr>
          <w:ilvl w:val="0"/>
          <w:numId w:val="1"/>
        </w:numPr>
        <w:tabs>
          <w:tab w:val="clear" w:pos="720"/>
          <w:tab w:val="num" w:pos="142"/>
          <w:tab w:val="left" w:pos="284"/>
        </w:tabs>
        <w:ind w:left="284" w:hanging="284"/>
        <w:rPr>
          <w:sz w:val="20"/>
          <w:lang w:val="en-GB"/>
        </w:rPr>
      </w:pPr>
      <w:r w:rsidRPr="004D4453">
        <w:rPr>
          <w:sz w:val="20"/>
          <w:lang w:val="en-GB"/>
        </w:rPr>
        <w:t>CLIFT R</w:t>
      </w:r>
      <w:r>
        <w:rPr>
          <w:sz w:val="20"/>
          <w:lang w:val="en-GB"/>
        </w:rPr>
        <w:t>.</w:t>
      </w:r>
      <w:r w:rsidRPr="004D4453">
        <w:rPr>
          <w:sz w:val="20"/>
          <w:lang w:val="en-GB"/>
        </w:rPr>
        <w:t>, WRIGHT L.</w:t>
      </w:r>
      <w:r>
        <w:rPr>
          <w:sz w:val="20"/>
          <w:lang w:val="en-GB"/>
        </w:rPr>
        <w:t>:</w:t>
      </w:r>
      <w:r w:rsidRPr="004D4453">
        <w:rPr>
          <w:sz w:val="20"/>
          <w:lang w:val="en-GB"/>
        </w:rPr>
        <w:t xml:space="preserve"> </w:t>
      </w:r>
      <w:r w:rsidR="004D4453" w:rsidRPr="008C0104">
        <w:rPr>
          <w:i/>
          <w:sz w:val="20"/>
          <w:lang w:val="en-GB"/>
        </w:rPr>
        <w:t>Relationships between environmental impacts and added value along the supply chain</w:t>
      </w:r>
      <w:r w:rsidR="004D4453" w:rsidRPr="004D4453">
        <w:rPr>
          <w:sz w:val="20"/>
          <w:lang w:val="en-GB"/>
        </w:rPr>
        <w:t xml:space="preserve">, </w:t>
      </w:r>
      <w:r w:rsidRPr="008C0104">
        <w:rPr>
          <w:sz w:val="20"/>
        </w:rPr>
        <w:t>Technological Forecasting and Social Change</w:t>
      </w:r>
      <w:r>
        <w:rPr>
          <w:sz w:val="20"/>
        </w:rPr>
        <w:t xml:space="preserve">, </w:t>
      </w:r>
      <w:r w:rsidR="004D4453" w:rsidRPr="004D4453">
        <w:rPr>
          <w:sz w:val="20"/>
          <w:lang w:val="en-GB"/>
        </w:rPr>
        <w:t>2000</w:t>
      </w:r>
      <w:r>
        <w:rPr>
          <w:sz w:val="20"/>
          <w:lang w:val="en-GB"/>
        </w:rPr>
        <w:t>, vol.</w:t>
      </w:r>
      <w:r w:rsidR="004D4453" w:rsidRPr="004D4453">
        <w:rPr>
          <w:sz w:val="20"/>
          <w:lang w:val="en-GB"/>
        </w:rPr>
        <w:t>65(3)</w:t>
      </w:r>
      <w:r>
        <w:rPr>
          <w:sz w:val="20"/>
          <w:lang w:val="en-GB"/>
        </w:rPr>
        <w:t>, pp.</w:t>
      </w:r>
      <w:r w:rsidR="004D4453" w:rsidRPr="004D4453">
        <w:rPr>
          <w:sz w:val="20"/>
          <w:lang w:val="en-GB"/>
        </w:rPr>
        <w:t>281–295.</w:t>
      </w:r>
    </w:p>
    <w:p w:rsidR="004D4453" w:rsidRPr="004D4453" w:rsidRDefault="008C0104" w:rsidP="00710F5C">
      <w:pPr>
        <w:numPr>
          <w:ilvl w:val="0"/>
          <w:numId w:val="1"/>
        </w:numPr>
        <w:tabs>
          <w:tab w:val="clear" w:pos="720"/>
          <w:tab w:val="num" w:pos="142"/>
          <w:tab w:val="left" w:pos="284"/>
        </w:tabs>
        <w:ind w:left="284" w:hanging="284"/>
        <w:rPr>
          <w:sz w:val="20"/>
          <w:lang w:val="en-GB"/>
        </w:rPr>
      </w:pPr>
      <w:r w:rsidRPr="004D4453">
        <w:rPr>
          <w:sz w:val="20"/>
          <w:lang w:val="en-GB"/>
        </w:rPr>
        <w:t>CITY OF NIŠ</w:t>
      </w:r>
      <w:r w:rsidR="004D4453" w:rsidRPr="004D4453">
        <w:rPr>
          <w:sz w:val="20"/>
        </w:rPr>
        <w:t xml:space="preserve">: </w:t>
      </w:r>
      <w:r w:rsidR="004D4453" w:rsidRPr="004D4453">
        <w:rPr>
          <w:sz w:val="20"/>
          <w:lang w:val="en-GB"/>
        </w:rPr>
        <w:t>Official presentation – Available at:</w:t>
      </w:r>
      <w:r>
        <w:rPr>
          <w:sz w:val="20"/>
          <w:lang w:val="en-GB"/>
        </w:rPr>
        <w:t xml:space="preserve"> </w:t>
      </w:r>
      <w:hyperlink r:id="rId10" w:history="1">
        <w:r w:rsidR="004D4453" w:rsidRPr="004D4453">
          <w:rPr>
            <w:rStyle w:val="Hyperlink"/>
            <w:sz w:val="20"/>
            <w:lang w:val="en-GB"/>
          </w:rPr>
          <w:t>http://www.ni.rs/index.php</w:t>
        </w:r>
      </w:hyperlink>
      <w:r w:rsidR="004D4453" w:rsidRPr="004D4453">
        <w:rPr>
          <w:sz w:val="20"/>
          <w:lang w:val="en-GB"/>
        </w:rPr>
        <w:t xml:space="preserve">. </w:t>
      </w:r>
    </w:p>
    <w:p w:rsidR="004D4453" w:rsidRPr="004D4453" w:rsidRDefault="008C0104" w:rsidP="00710F5C">
      <w:pPr>
        <w:numPr>
          <w:ilvl w:val="0"/>
          <w:numId w:val="1"/>
        </w:numPr>
        <w:tabs>
          <w:tab w:val="clear" w:pos="720"/>
          <w:tab w:val="num" w:pos="142"/>
          <w:tab w:val="left" w:pos="284"/>
        </w:tabs>
        <w:ind w:left="284" w:hanging="284"/>
        <w:rPr>
          <w:sz w:val="20"/>
          <w:lang w:val="en-GB"/>
        </w:rPr>
      </w:pPr>
      <w:r w:rsidRPr="004D4453">
        <w:rPr>
          <w:sz w:val="20"/>
          <w:lang w:val="en-GB"/>
        </w:rPr>
        <w:t xml:space="preserve">PUBLIC UTILITY COMPANY “MEDIJANA” </w:t>
      </w:r>
      <w:r w:rsidR="004D4453" w:rsidRPr="00914CDD">
        <w:rPr>
          <w:i/>
          <w:sz w:val="20"/>
          <w:lang w:val="en-GB"/>
        </w:rPr>
        <w:t>Official presentation</w:t>
      </w:r>
      <w:r w:rsidR="00914CDD">
        <w:rPr>
          <w:i/>
          <w:sz w:val="20"/>
          <w:lang w:val="en-GB"/>
        </w:rPr>
        <w:t>.</w:t>
      </w:r>
      <w:r w:rsidR="004D4453" w:rsidRPr="004D4453">
        <w:rPr>
          <w:sz w:val="20"/>
          <w:lang w:val="en-GB"/>
        </w:rPr>
        <w:t xml:space="preserve"> Available at: </w:t>
      </w:r>
      <w:hyperlink r:id="rId11" w:history="1">
        <w:r w:rsidR="004D4453" w:rsidRPr="004D4453">
          <w:rPr>
            <w:rStyle w:val="Hyperlink"/>
            <w:sz w:val="20"/>
            <w:lang w:val="en-GB"/>
          </w:rPr>
          <w:t>http://www.jkpmediana.rs/</w:t>
        </w:r>
      </w:hyperlink>
      <w:r w:rsidR="004D4453" w:rsidRPr="004D4453">
        <w:rPr>
          <w:sz w:val="20"/>
          <w:lang w:val="en-GB"/>
        </w:rPr>
        <w:t>.</w:t>
      </w:r>
    </w:p>
    <w:p w:rsidR="004D4453" w:rsidRDefault="008C0104" w:rsidP="00710F5C">
      <w:pPr>
        <w:numPr>
          <w:ilvl w:val="0"/>
          <w:numId w:val="1"/>
        </w:numPr>
        <w:tabs>
          <w:tab w:val="clear" w:pos="720"/>
          <w:tab w:val="num" w:pos="142"/>
          <w:tab w:val="left" w:pos="284"/>
        </w:tabs>
        <w:ind w:left="284" w:hanging="284"/>
        <w:rPr>
          <w:sz w:val="20"/>
          <w:lang w:val="en-GB"/>
        </w:rPr>
      </w:pPr>
      <w:r w:rsidRPr="004D4453">
        <w:rPr>
          <w:sz w:val="20"/>
          <w:lang w:val="en-GB"/>
        </w:rPr>
        <w:t>LCA-IWM ASSESSMENT TOOL</w:t>
      </w:r>
      <w:r w:rsidR="004D4453" w:rsidRPr="004D4453">
        <w:rPr>
          <w:sz w:val="20"/>
          <w:lang w:val="en-GB"/>
        </w:rPr>
        <w:t xml:space="preserve">. </w:t>
      </w:r>
      <w:r w:rsidR="004D4453" w:rsidRPr="00914CDD">
        <w:rPr>
          <w:i/>
          <w:sz w:val="20"/>
          <w:lang w:val="en-GB"/>
        </w:rPr>
        <w:t>The use of life cycle assessment tool for the development of integrated waste management strategies for cities and regions with rapid growing economies</w:t>
      </w:r>
      <w:r w:rsidR="004D4453" w:rsidRPr="004D4453">
        <w:rPr>
          <w:sz w:val="20"/>
          <w:lang w:val="en-GB"/>
        </w:rPr>
        <w:t>, CORDIS-Community Research and Development Information 2005</w:t>
      </w:r>
      <w:r w:rsidR="00914CDD">
        <w:rPr>
          <w:sz w:val="20"/>
          <w:lang w:val="en-GB"/>
        </w:rPr>
        <w:t>.</w:t>
      </w:r>
      <w:r w:rsidR="004D4453" w:rsidRPr="004D4453">
        <w:rPr>
          <w:sz w:val="20"/>
          <w:lang w:val="en-GB"/>
        </w:rPr>
        <w:t xml:space="preserve"> Available at: </w:t>
      </w:r>
      <w:hyperlink r:id="rId12" w:history="1">
        <w:r w:rsidR="004D4453" w:rsidRPr="004D4453">
          <w:rPr>
            <w:rStyle w:val="Hyperlink"/>
            <w:sz w:val="20"/>
            <w:lang w:val="en-GB"/>
          </w:rPr>
          <w:t>http://www.iwar.tu-darmstadt.de/lca-iwm/lca_iwm/project_results/results/index.en.jsp</w:t>
        </w:r>
      </w:hyperlink>
      <w:r w:rsidR="004D4453" w:rsidRPr="004D4453">
        <w:rPr>
          <w:sz w:val="20"/>
          <w:lang w:val="en-GB"/>
        </w:rPr>
        <w:t>.</w:t>
      </w:r>
    </w:p>
    <w:p w:rsidR="004D4453" w:rsidRPr="00B07668" w:rsidRDefault="008C0104" w:rsidP="004D4453">
      <w:pPr>
        <w:numPr>
          <w:ilvl w:val="0"/>
          <w:numId w:val="1"/>
        </w:numPr>
        <w:tabs>
          <w:tab w:val="clear" w:pos="720"/>
          <w:tab w:val="num" w:pos="142"/>
          <w:tab w:val="left" w:pos="284"/>
        </w:tabs>
        <w:ind w:left="284" w:hanging="284"/>
        <w:rPr>
          <w:sz w:val="20"/>
        </w:rPr>
      </w:pPr>
      <w:r w:rsidRPr="00B07668">
        <w:rPr>
          <w:sz w:val="20"/>
          <w:lang w:val="en-GB"/>
        </w:rPr>
        <w:t>DIAZ R., WARITH M</w:t>
      </w:r>
      <w:r w:rsidR="004D4453" w:rsidRPr="00B07668">
        <w:rPr>
          <w:sz w:val="20"/>
          <w:lang w:val="en-GB"/>
        </w:rPr>
        <w:t>.</w:t>
      </w:r>
      <w:r w:rsidRPr="00B07668">
        <w:rPr>
          <w:sz w:val="20"/>
          <w:lang w:val="en-GB"/>
        </w:rPr>
        <w:t>:</w:t>
      </w:r>
      <w:r w:rsidR="004D4453" w:rsidRPr="00B07668">
        <w:rPr>
          <w:sz w:val="20"/>
          <w:lang w:val="en-GB"/>
        </w:rPr>
        <w:t xml:space="preserve"> </w:t>
      </w:r>
      <w:r w:rsidR="004D4453" w:rsidRPr="00B07668">
        <w:rPr>
          <w:i/>
          <w:sz w:val="20"/>
          <w:lang w:val="en-GB"/>
        </w:rPr>
        <w:t>Life assessment of municipal solid wastes: development of the WASTED mode</w:t>
      </w:r>
      <w:r w:rsidR="00914CDD" w:rsidRPr="00B07668">
        <w:rPr>
          <w:i/>
          <w:sz w:val="20"/>
          <w:lang w:val="en-GB"/>
        </w:rPr>
        <w:t>l,</w:t>
      </w:r>
      <w:r w:rsidR="004D4453" w:rsidRPr="00B07668">
        <w:rPr>
          <w:sz w:val="20"/>
          <w:lang w:val="en-GB"/>
        </w:rPr>
        <w:t xml:space="preserve"> Waste Manage</w:t>
      </w:r>
      <w:r w:rsidRPr="00B07668">
        <w:rPr>
          <w:sz w:val="20"/>
          <w:lang w:val="en-GB"/>
        </w:rPr>
        <w:t>ment,</w:t>
      </w:r>
      <w:r w:rsidR="004D4453" w:rsidRPr="00B07668">
        <w:rPr>
          <w:sz w:val="20"/>
          <w:lang w:val="en-GB"/>
        </w:rPr>
        <w:t xml:space="preserve"> 2005</w:t>
      </w:r>
      <w:r w:rsidRPr="00B07668">
        <w:rPr>
          <w:sz w:val="20"/>
          <w:lang w:val="en-GB"/>
        </w:rPr>
        <w:t>, vol.</w:t>
      </w:r>
      <w:r w:rsidR="004D4453" w:rsidRPr="00B07668">
        <w:rPr>
          <w:sz w:val="20"/>
          <w:lang w:val="en-GB"/>
        </w:rPr>
        <w:t>26</w:t>
      </w:r>
      <w:r w:rsidRPr="00B07668">
        <w:rPr>
          <w:sz w:val="20"/>
          <w:lang w:val="en-GB"/>
        </w:rPr>
        <w:t>, pp.</w:t>
      </w:r>
      <w:r w:rsidR="00371BDC" w:rsidRPr="00B07668">
        <w:rPr>
          <w:sz w:val="20"/>
          <w:lang w:val="en-GB"/>
        </w:rPr>
        <w:t>886-901</w:t>
      </w:r>
      <w:r w:rsidR="004D4453" w:rsidRPr="00B07668">
        <w:rPr>
          <w:sz w:val="20"/>
          <w:lang w:val="en-GB"/>
        </w:rPr>
        <w:t>.</w:t>
      </w:r>
    </w:p>
    <w:p w:rsidR="004D4453" w:rsidRPr="004D4453" w:rsidRDefault="004D4453" w:rsidP="004D4453">
      <w:pPr>
        <w:rPr>
          <w:sz w:val="20"/>
          <w:lang w:val="en-GB"/>
        </w:rPr>
      </w:pPr>
    </w:p>
    <w:p w:rsidR="004D4453" w:rsidRDefault="004D4453"/>
    <w:sectPr w:rsidR="004D4453" w:rsidSect="00F5544F">
      <w:headerReference w:type="default" r:id="rId13"/>
      <w:footerReference w:type="default" r:id="rId14"/>
      <w:pgSz w:w="11907" w:h="16840" w:code="9"/>
      <w:pgMar w:top="1134" w:right="1134" w:bottom="1134" w:left="1134" w:header="709" w:footer="709"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22A" w:rsidRDefault="00EB322A" w:rsidP="006D08EE">
      <w:r>
        <w:separator/>
      </w:r>
    </w:p>
  </w:endnote>
  <w:endnote w:type="continuationSeparator" w:id="1">
    <w:p w:rsidR="00EB322A" w:rsidRDefault="00EB322A" w:rsidP="006D08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6D08EE" w:rsidTr="00D079CC">
      <w:trPr>
        <w:trHeight w:val="100"/>
      </w:trPr>
      <w:tc>
        <w:tcPr>
          <w:tcW w:w="9639" w:type="dxa"/>
        </w:tcPr>
        <w:p w:rsidR="006D08EE" w:rsidRDefault="006D08EE" w:rsidP="00D079CC">
          <w:pPr>
            <w:pStyle w:val="Footer"/>
            <w:jc w:val="right"/>
          </w:pPr>
          <w:r>
            <w:t>6</w:t>
          </w:r>
          <w:r w:rsidRPr="007E43D7">
            <w:t xml:space="preserve"> - </w:t>
          </w:r>
          <w:fldSimple w:instr=" PAGE   \* MERGEFORMAT ">
            <w:r w:rsidR="00EB322A">
              <w:rPr>
                <w:noProof/>
              </w:rPr>
              <w:t>14</w:t>
            </w:r>
          </w:fldSimple>
        </w:p>
      </w:tc>
    </w:tr>
  </w:tbl>
  <w:p w:rsidR="006D08EE" w:rsidRDefault="006D08EE" w:rsidP="006D08E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22A" w:rsidRDefault="00EB322A" w:rsidP="006D08EE">
      <w:r>
        <w:separator/>
      </w:r>
    </w:p>
  </w:footnote>
  <w:footnote w:type="continuationSeparator" w:id="1">
    <w:p w:rsidR="00EB322A" w:rsidRDefault="00EB322A" w:rsidP="006D08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8EE" w:rsidRDefault="00D84595" w:rsidP="006D08EE">
    <w:pPr>
      <w:pStyle w:val="Header"/>
    </w:pPr>
    <w:r>
      <w:rPr>
        <w:noProof/>
      </w:rPr>
      <w:pict>
        <v:group id="Group 1" o:spid="_x0000_s2049" style="position:absolute;margin-left:1.05pt;margin-top:-32.15pt;width:482.25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6D08EE" w:rsidRDefault="006D08EE" w:rsidP="006D08EE"/>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6D08EE" w:rsidRDefault="006D08EE" w:rsidP="006D08EE">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6D08EE" w:rsidRDefault="006D08EE" w:rsidP="006D08EE">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6D08EE" w:rsidRDefault="006D08EE" w:rsidP="006D08EE">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6D08EE">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6D08EE" w:rsidRDefault="006D08EE" w:rsidP="006D08EE">
    <w:pPr>
      <w:pStyle w:val="Header"/>
    </w:pPr>
  </w:p>
  <w:p w:rsidR="006D08EE" w:rsidRDefault="006D08EE" w:rsidP="006D08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39A678B"/>
    <w:multiLevelType w:val="hybridMultilevel"/>
    <w:tmpl w:val="1EF889F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E456E"/>
    <w:multiLevelType w:val="hybridMultilevel"/>
    <w:tmpl w:val="52669FC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D290DA3"/>
    <w:multiLevelType w:val="multilevel"/>
    <w:tmpl w:val="B54483AC"/>
    <w:lvl w:ilvl="0">
      <w:start w:val="1"/>
      <w:numFmt w:val="bullet"/>
      <w:lvlText w:val=""/>
      <w:lvlJc w:val="left"/>
      <w:pPr>
        <w:tabs>
          <w:tab w:val="num" w:pos="397"/>
        </w:tabs>
        <w:ind w:left="397" w:hanging="397"/>
      </w:pPr>
      <w:rPr>
        <w:rFonts w:ascii="Symbol" w:hAnsi="Symbol"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
    <w:nsid w:val="7F8B5E1F"/>
    <w:multiLevelType w:val="hybridMultilevel"/>
    <w:tmpl w:val="0B40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725C5D"/>
    <w:rsid w:val="000103ED"/>
    <w:rsid w:val="00021BF5"/>
    <w:rsid w:val="000333F4"/>
    <w:rsid w:val="00036004"/>
    <w:rsid w:val="00063F14"/>
    <w:rsid w:val="00101134"/>
    <w:rsid w:val="001548C7"/>
    <w:rsid w:val="001D120A"/>
    <w:rsid w:val="002E4140"/>
    <w:rsid w:val="003239C7"/>
    <w:rsid w:val="00326400"/>
    <w:rsid w:val="00332E2B"/>
    <w:rsid w:val="00371BDC"/>
    <w:rsid w:val="003B0AA8"/>
    <w:rsid w:val="004C6E7E"/>
    <w:rsid w:val="004D4453"/>
    <w:rsid w:val="00503930"/>
    <w:rsid w:val="00515E91"/>
    <w:rsid w:val="005D496F"/>
    <w:rsid w:val="00642673"/>
    <w:rsid w:val="006D08EE"/>
    <w:rsid w:val="007030DE"/>
    <w:rsid w:val="00710F5C"/>
    <w:rsid w:val="00725C5D"/>
    <w:rsid w:val="00773E37"/>
    <w:rsid w:val="007872FC"/>
    <w:rsid w:val="007B10D7"/>
    <w:rsid w:val="00813555"/>
    <w:rsid w:val="00826AF5"/>
    <w:rsid w:val="00847A6B"/>
    <w:rsid w:val="00851E69"/>
    <w:rsid w:val="00896213"/>
    <w:rsid w:val="008C0104"/>
    <w:rsid w:val="008D0FC6"/>
    <w:rsid w:val="008D34B4"/>
    <w:rsid w:val="008F5D47"/>
    <w:rsid w:val="00914CDD"/>
    <w:rsid w:val="009B5EBE"/>
    <w:rsid w:val="00A109E2"/>
    <w:rsid w:val="00A74110"/>
    <w:rsid w:val="00A936B8"/>
    <w:rsid w:val="00AA5080"/>
    <w:rsid w:val="00AA6A0B"/>
    <w:rsid w:val="00AE40C0"/>
    <w:rsid w:val="00B07668"/>
    <w:rsid w:val="00B311DA"/>
    <w:rsid w:val="00B341B5"/>
    <w:rsid w:val="00B64A50"/>
    <w:rsid w:val="00B76DCD"/>
    <w:rsid w:val="00C0581B"/>
    <w:rsid w:val="00C66D39"/>
    <w:rsid w:val="00CC6C9B"/>
    <w:rsid w:val="00CC71DE"/>
    <w:rsid w:val="00CF4E10"/>
    <w:rsid w:val="00D3297C"/>
    <w:rsid w:val="00D4239D"/>
    <w:rsid w:val="00D4383A"/>
    <w:rsid w:val="00D84595"/>
    <w:rsid w:val="00E15FA3"/>
    <w:rsid w:val="00E530D2"/>
    <w:rsid w:val="00EA0280"/>
    <w:rsid w:val="00EB322A"/>
    <w:rsid w:val="00EC7A3D"/>
    <w:rsid w:val="00EE11F4"/>
    <w:rsid w:val="00EE3C72"/>
    <w:rsid w:val="00F255E2"/>
    <w:rsid w:val="00F51D71"/>
    <w:rsid w:val="00F5544F"/>
    <w:rsid w:val="00F72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5D"/>
    <w:rPr>
      <w:sz w:val="24"/>
      <w:szCs w:val="24"/>
    </w:rPr>
  </w:style>
  <w:style w:type="paragraph" w:styleId="Heading1">
    <w:name w:val="heading 1"/>
    <w:aliases w:val="IATED-Section"/>
    <w:next w:val="Normal"/>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rsid w:val="00725C5D"/>
    <w:rPr>
      <w:rFonts w:ascii="Arial" w:hAnsi="Arial"/>
      <w:bCs/>
      <w:i/>
      <w:sz w:val="22"/>
      <w:szCs w:val="26"/>
      <w:lang w:val="es-ES" w:eastAsia="es-ES" w:bidi="ar-SA"/>
    </w:rPr>
  </w:style>
  <w:style w:type="paragraph" w:styleId="Caption">
    <w:name w:val="caption"/>
    <w:basedOn w:val="Normal"/>
    <w:next w:val="Normal"/>
    <w:unhideWhenUsed/>
    <w:qFormat/>
    <w:rsid w:val="00A936B8"/>
    <w:rPr>
      <w:b/>
      <w:bCs/>
      <w:sz w:val="20"/>
      <w:szCs w:val="20"/>
    </w:rPr>
  </w:style>
  <w:style w:type="paragraph" w:styleId="Header">
    <w:name w:val="header"/>
    <w:basedOn w:val="Normal"/>
    <w:link w:val="HeaderChar"/>
    <w:uiPriority w:val="99"/>
    <w:rsid w:val="006D08EE"/>
    <w:pPr>
      <w:tabs>
        <w:tab w:val="center" w:pos="4680"/>
        <w:tab w:val="right" w:pos="9360"/>
      </w:tabs>
    </w:pPr>
  </w:style>
  <w:style w:type="character" w:customStyle="1" w:styleId="HeaderChar">
    <w:name w:val="Header Char"/>
    <w:basedOn w:val="DefaultParagraphFont"/>
    <w:link w:val="Header"/>
    <w:uiPriority w:val="99"/>
    <w:rsid w:val="006D08EE"/>
    <w:rPr>
      <w:sz w:val="24"/>
      <w:szCs w:val="24"/>
    </w:rPr>
  </w:style>
  <w:style w:type="paragraph" w:styleId="Footer">
    <w:name w:val="footer"/>
    <w:basedOn w:val="Normal"/>
    <w:link w:val="FooterChar"/>
    <w:uiPriority w:val="99"/>
    <w:rsid w:val="006D08EE"/>
    <w:pPr>
      <w:tabs>
        <w:tab w:val="center" w:pos="4680"/>
        <w:tab w:val="right" w:pos="9360"/>
      </w:tabs>
    </w:pPr>
  </w:style>
  <w:style w:type="character" w:customStyle="1" w:styleId="FooterChar">
    <w:name w:val="Footer Char"/>
    <w:basedOn w:val="DefaultParagraphFont"/>
    <w:link w:val="Footer"/>
    <w:uiPriority w:val="99"/>
    <w:rsid w:val="006D08EE"/>
    <w:rPr>
      <w:sz w:val="24"/>
      <w:szCs w:val="24"/>
    </w:rPr>
  </w:style>
  <w:style w:type="paragraph" w:styleId="NoSpacing">
    <w:name w:val="No Spacing"/>
    <w:uiPriority w:val="1"/>
    <w:qFormat/>
    <w:rsid w:val="006D08EE"/>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41600038">
      <w:bodyDiv w:val="1"/>
      <w:marLeft w:val="0"/>
      <w:marRight w:val="0"/>
      <w:marTop w:val="0"/>
      <w:marBottom w:val="0"/>
      <w:divBdr>
        <w:top w:val="none" w:sz="0" w:space="0" w:color="auto"/>
        <w:left w:val="none" w:sz="0" w:space="0" w:color="auto"/>
        <w:bottom w:val="none" w:sz="0" w:space="0" w:color="auto"/>
        <w:right w:val="none" w:sz="0" w:space="0" w:color="auto"/>
      </w:divBdr>
    </w:div>
    <w:div w:id="882326148">
      <w:bodyDiv w:val="1"/>
      <w:marLeft w:val="0"/>
      <w:marRight w:val="0"/>
      <w:marTop w:val="0"/>
      <w:marBottom w:val="0"/>
      <w:divBdr>
        <w:top w:val="none" w:sz="0" w:space="0" w:color="auto"/>
        <w:left w:val="none" w:sz="0" w:space="0" w:color="auto"/>
        <w:bottom w:val="none" w:sz="0" w:space="0" w:color="auto"/>
        <w:right w:val="none" w:sz="0" w:space="0" w:color="auto"/>
      </w:divBdr>
    </w:div>
    <w:div w:id="1051881223">
      <w:bodyDiv w:val="1"/>
      <w:marLeft w:val="0"/>
      <w:marRight w:val="0"/>
      <w:marTop w:val="0"/>
      <w:marBottom w:val="0"/>
      <w:divBdr>
        <w:top w:val="none" w:sz="0" w:space="0" w:color="auto"/>
        <w:left w:val="none" w:sz="0" w:space="0" w:color="auto"/>
        <w:bottom w:val="none" w:sz="0" w:space="0" w:color="auto"/>
        <w:right w:val="none" w:sz="0" w:space="0" w:color="auto"/>
      </w:divBdr>
    </w:div>
    <w:div w:id="10871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aden.tomic@vtsnis.edu.r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ljana.milutinovic@vtsnis.edu.rs" TargetMode="External"/><Relationship Id="rId12" Type="http://schemas.openxmlformats.org/officeDocument/2006/relationships/hyperlink" Target="http://www.iwar.tu-darmstadt.de/lca-iwm/lca_iwm/project_results/results/index.en.j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kpmediana.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i.rs/index.php" TargetMode="External"/><Relationship Id="rId4" Type="http://schemas.openxmlformats.org/officeDocument/2006/relationships/webSettings" Target="webSettings.xml"/><Relationship Id="rId9" Type="http://schemas.openxmlformats.org/officeDocument/2006/relationships/hyperlink" Target="mailto:petar.djekic@vtsnis.edu.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4122</Words>
  <Characters>23498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Company>
  <LinksUpToDate>false</LinksUpToDate>
  <CharactersWithSpaces>27565</CharactersWithSpaces>
  <SharedDoc>false</SharedDoc>
  <HLinks>
    <vt:vector size="36" baseType="variant">
      <vt:variant>
        <vt:i4>4456472</vt:i4>
      </vt:variant>
      <vt:variant>
        <vt:i4>24</vt:i4>
      </vt:variant>
      <vt:variant>
        <vt:i4>0</vt:i4>
      </vt:variant>
      <vt:variant>
        <vt:i4>5</vt:i4>
      </vt:variant>
      <vt:variant>
        <vt:lpwstr>http://www.iwar.tu-darmstadt.de/lca-iwm/lca_iwm/project_results/results/index.en.jsp</vt:lpwstr>
      </vt:variant>
      <vt:variant>
        <vt:lpwstr/>
      </vt:variant>
      <vt:variant>
        <vt:i4>917568</vt:i4>
      </vt:variant>
      <vt:variant>
        <vt:i4>21</vt:i4>
      </vt:variant>
      <vt:variant>
        <vt:i4>0</vt:i4>
      </vt:variant>
      <vt:variant>
        <vt:i4>5</vt:i4>
      </vt:variant>
      <vt:variant>
        <vt:lpwstr>http://www.jkpmediana.rs/</vt:lpwstr>
      </vt:variant>
      <vt:variant>
        <vt:lpwstr/>
      </vt:variant>
      <vt:variant>
        <vt:i4>7143465</vt:i4>
      </vt:variant>
      <vt:variant>
        <vt:i4>18</vt:i4>
      </vt:variant>
      <vt:variant>
        <vt:i4>0</vt:i4>
      </vt:variant>
      <vt:variant>
        <vt:i4>5</vt:i4>
      </vt:variant>
      <vt:variant>
        <vt:lpwstr>http://www.ni.rs/index.php</vt:lpwstr>
      </vt:variant>
      <vt:variant>
        <vt:lpwstr/>
      </vt:variant>
      <vt:variant>
        <vt:i4>3604490</vt:i4>
      </vt:variant>
      <vt:variant>
        <vt:i4>6</vt:i4>
      </vt:variant>
      <vt:variant>
        <vt:i4>0</vt:i4>
      </vt:variant>
      <vt:variant>
        <vt:i4>5</vt:i4>
      </vt:variant>
      <vt:variant>
        <vt:lpwstr>mailto:petar.djekic@vtsnis.edu.rs</vt:lpwstr>
      </vt:variant>
      <vt:variant>
        <vt:lpwstr/>
      </vt:variant>
      <vt:variant>
        <vt:i4>6815838</vt:i4>
      </vt:variant>
      <vt:variant>
        <vt:i4>3</vt:i4>
      </vt:variant>
      <vt:variant>
        <vt:i4>0</vt:i4>
      </vt:variant>
      <vt:variant>
        <vt:i4>5</vt:i4>
      </vt:variant>
      <vt:variant>
        <vt:lpwstr>mailto:mladen.tomic@vtsnis.edu.rs</vt:lpwstr>
      </vt:variant>
      <vt:variant>
        <vt:lpwstr/>
      </vt:variant>
      <vt:variant>
        <vt:i4>1638449</vt:i4>
      </vt:variant>
      <vt:variant>
        <vt:i4>0</vt:i4>
      </vt:variant>
      <vt:variant>
        <vt:i4>0</vt:i4>
      </vt:variant>
      <vt:variant>
        <vt:i4>5</vt:i4>
      </vt:variant>
      <vt:variant>
        <vt:lpwstr>mailto:biljana.milutinovic@vtsnis.edu.rs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creator>CP</dc:creator>
  <cp:lastModifiedBy>Pedja</cp:lastModifiedBy>
  <cp:revision>5</cp:revision>
  <dcterms:created xsi:type="dcterms:W3CDTF">2017-10-13T10:34:00Z</dcterms:created>
  <dcterms:modified xsi:type="dcterms:W3CDTF">2017-10-13T12:08:00Z</dcterms:modified>
</cp:coreProperties>
</file>