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95" w:rsidRPr="009671E8" w:rsidRDefault="00E16995" w:rsidP="00DF7360">
      <w:pPr>
        <w:jc w:val="center"/>
        <w:rPr>
          <w:rFonts w:ascii="Calibri" w:hAnsi="Calibri"/>
        </w:rPr>
      </w:pPr>
    </w:p>
    <w:p w:rsidR="00DF7360" w:rsidRPr="009671E8" w:rsidRDefault="00DF7360" w:rsidP="00DF7360">
      <w:pPr>
        <w:jc w:val="center"/>
        <w:rPr>
          <w:rFonts w:ascii="Calibri" w:hAnsi="Calibri"/>
        </w:rPr>
      </w:pPr>
    </w:p>
    <w:p w:rsidR="00DF7360" w:rsidRPr="009671E8" w:rsidRDefault="00DF7360" w:rsidP="00DF7360">
      <w:pPr>
        <w:jc w:val="center"/>
        <w:rPr>
          <w:rFonts w:ascii="Calibri" w:hAnsi="Calibri"/>
        </w:rPr>
      </w:pPr>
    </w:p>
    <w:p w:rsidR="00DF7360" w:rsidRPr="009671E8" w:rsidRDefault="00DF7360" w:rsidP="00DF7360">
      <w:pPr>
        <w:jc w:val="center"/>
        <w:rPr>
          <w:rFonts w:ascii="Calibri" w:hAnsi="Calibri"/>
        </w:rPr>
      </w:pPr>
    </w:p>
    <w:p w:rsidR="00DF7360" w:rsidRPr="009671E8" w:rsidRDefault="00DF7360" w:rsidP="00DF7360">
      <w:pPr>
        <w:jc w:val="center"/>
        <w:rPr>
          <w:rFonts w:ascii="Calibri" w:hAnsi="Calibri"/>
        </w:rPr>
      </w:pPr>
    </w:p>
    <w:p w:rsidR="00DF7360" w:rsidRPr="009671E8" w:rsidRDefault="00DF7360" w:rsidP="00DF7360">
      <w:pPr>
        <w:jc w:val="center"/>
        <w:rPr>
          <w:rFonts w:ascii="Calibri" w:hAnsi="Calibri"/>
        </w:rPr>
      </w:pPr>
    </w:p>
    <w:p w:rsidR="00DF7360" w:rsidRPr="009671E8" w:rsidRDefault="00DF7360" w:rsidP="00DF7360">
      <w:pPr>
        <w:jc w:val="center"/>
        <w:rPr>
          <w:rFonts w:ascii="Calibri" w:hAnsi="Calibri"/>
        </w:rPr>
      </w:pPr>
    </w:p>
    <w:p w:rsidR="00946219" w:rsidRDefault="00946219" w:rsidP="00DF7360">
      <w:pPr>
        <w:jc w:val="center"/>
        <w:rPr>
          <w:rFonts w:ascii="Times New Roman" w:hAnsi="Times New Roman"/>
          <w:b/>
          <w:sz w:val="28"/>
          <w:szCs w:val="28"/>
        </w:rPr>
      </w:pPr>
      <w:r>
        <w:rPr>
          <w:rFonts w:ascii="Times New Roman" w:hAnsi="Times New Roman"/>
          <w:b/>
          <w:sz w:val="28"/>
          <w:szCs w:val="28"/>
        </w:rPr>
        <w:t>TOURISM INTENSITY AS A DEVELOPMENT FACTOR OF SPA CENTERS OF DONJE PODRINJE (SERBIA)</w:t>
      </w:r>
    </w:p>
    <w:p w:rsidR="00946219" w:rsidRDefault="00946219" w:rsidP="00DF7360">
      <w:pPr>
        <w:jc w:val="center"/>
        <w:rPr>
          <w:rFonts w:ascii="Times New Roman" w:hAnsi="Times New Roman"/>
          <w:b/>
          <w:sz w:val="28"/>
          <w:szCs w:val="28"/>
        </w:rPr>
      </w:pPr>
    </w:p>
    <w:p w:rsidR="00946219" w:rsidRPr="00F00260" w:rsidRDefault="00946219" w:rsidP="00946219">
      <w:pPr>
        <w:jc w:val="center"/>
        <w:rPr>
          <w:rFonts w:ascii="Times New Roman" w:hAnsi="Times New Roman"/>
          <w:b/>
          <w:sz w:val="22"/>
          <w:szCs w:val="22"/>
        </w:rPr>
      </w:pPr>
      <w:r w:rsidRPr="00F00260">
        <w:rPr>
          <w:rFonts w:ascii="Times New Roman" w:hAnsi="Times New Roman"/>
          <w:b/>
          <w:sz w:val="22"/>
          <w:szCs w:val="22"/>
        </w:rPr>
        <w:t>Mr Slobodanka Marković</w:t>
      </w:r>
      <w:r>
        <w:rPr>
          <w:rFonts w:ascii="Times New Roman" w:hAnsi="Times New Roman"/>
          <w:b/>
          <w:sz w:val="22"/>
          <w:szCs w:val="22"/>
          <w:vertAlign w:val="superscript"/>
        </w:rPr>
        <w:t>1</w:t>
      </w:r>
      <w:r w:rsidRPr="00F00260">
        <w:rPr>
          <w:rFonts w:ascii="Times New Roman" w:hAnsi="Times New Roman"/>
          <w:b/>
          <w:sz w:val="22"/>
          <w:szCs w:val="22"/>
        </w:rPr>
        <w:t>; MSc Marija Perić</w:t>
      </w:r>
      <w:r w:rsidRPr="00F00260">
        <w:rPr>
          <w:rFonts w:ascii="Times New Roman" w:hAnsi="Times New Roman"/>
          <w:b/>
          <w:sz w:val="22"/>
          <w:szCs w:val="22"/>
          <w:vertAlign w:val="superscript"/>
        </w:rPr>
        <w:t>2</w:t>
      </w:r>
    </w:p>
    <w:p w:rsidR="00946219" w:rsidRDefault="00946219" w:rsidP="00946219">
      <w:pPr>
        <w:jc w:val="center"/>
        <w:rPr>
          <w:rFonts w:ascii="Times New Roman" w:hAnsi="Times New Roman"/>
        </w:rPr>
      </w:pPr>
      <w:r>
        <w:rPr>
          <w:rFonts w:ascii="Times New Roman" w:hAnsi="Times New Roman"/>
          <w:vertAlign w:val="superscript"/>
        </w:rPr>
        <w:t>1</w:t>
      </w:r>
      <w:r>
        <w:rPr>
          <w:rFonts w:ascii="Times New Roman" w:hAnsi="Times New Roman"/>
        </w:rPr>
        <w:t xml:space="preserve"> Faculty of Geography, Belgrade, SERBIA,  </w:t>
      </w:r>
      <w:hyperlink r:id="rId8" w:history="1">
        <w:r w:rsidRPr="00FF17D8">
          <w:rPr>
            <w:rStyle w:val="Hyperlink"/>
            <w:rFonts w:ascii="Times New Roman" w:hAnsi="Times New Roman"/>
          </w:rPr>
          <w:t>markovicsslobodanka@gmail.com</w:t>
        </w:r>
      </w:hyperlink>
    </w:p>
    <w:p w:rsidR="00946219" w:rsidRDefault="00946219" w:rsidP="00946219">
      <w:pPr>
        <w:jc w:val="center"/>
        <w:rPr>
          <w:rFonts w:ascii="Times New Roman" w:hAnsi="Times New Roman"/>
        </w:rPr>
      </w:pPr>
      <w:r>
        <w:rPr>
          <w:rFonts w:ascii="Times New Roman" w:hAnsi="Times New Roman"/>
          <w:vertAlign w:val="superscript"/>
        </w:rPr>
        <w:t>2</w:t>
      </w:r>
      <w:r>
        <w:rPr>
          <w:rFonts w:ascii="Times New Roman" w:hAnsi="Times New Roman"/>
        </w:rPr>
        <w:t xml:space="preserve"> Faculty of Geography, Belgrade, SERBIA, </w:t>
      </w:r>
      <w:hyperlink r:id="rId9" w:history="1">
        <w:r w:rsidRPr="005501BC">
          <w:rPr>
            <w:rStyle w:val="Hyperlink"/>
            <w:rFonts w:ascii="Times New Roman" w:hAnsi="Times New Roman"/>
          </w:rPr>
          <w:t>maki.peric84@gmail.com</w:t>
        </w:r>
      </w:hyperlink>
    </w:p>
    <w:p w:rsidR="00946219" w:rsidRPr="00C8110B" w:rsidRDefault="00946219" w:rsidP="00DF7360">
      <w:pPr>
        <w:jc w:val="center"/>
        <w:rPr>
          <w:rFonts w:ascii="Times New Roman" w:hAnsi="Times New Roman"/>
          <w:b/>
        </w:rPr>
      </w:pPr>
    </w:p>
    <w:p w:rsidR="00F66E9D" w:rsidRPr="00C8110B" w:rsidRDefault="00F66E9D" w:rsidP="00DF7360">
      <w:pPr>
        <w:jc w:val="center"/>
        <w:rPr>
          <w:rFonts w:ascii="Times New Roman" w:hAnsi="Times New Roman"/>
          <w:b/>
        </w:rPr>
      </w:pPr>
    </w:p>
    <w:p w:rsidR="00F66E9D" w:rsidRPr="00AF2B5E" w:rsidRDefault="00F66E9D" w:rsidP="00F66E9D">
      <w:pPr>
        <w:jc w:val="both"/>
        <w:rPr>
          <w:rFonts w:ascii="Times New Roman" w:hAnsi="Times New Roman"/>
          <w:i/>
          <w:sz w:val="18"/>
          <w:szCs w:val="18"/>
        </w:rPr>
      </w:pPr>
      <w:r w:rsidRPr="00F66E9D">
        <w:rPr>
          <w:rFonts w:ascii="Times New Roman" w:hAnsi="Times New Roman"/>
          <w:b/>
          <w:i/>
          <w:sz w:val="18"/>
          <w:szCs w:val="18"/>
        </w:rPr>
        <w:t>Abstract:</w:t>
      </w:r>
      <w:r w:rsidR="0029032A">
        <w:rPr>
          <w:rFonts w:ascii="Times New Roman" w:hAnsi="Times New Roman"/>
          <w:b/>
          <w:i/>
          <w:sz w:val="18"/>
          <w:szCs w:val="18"/>
        </w:rPr>
        <w:t xml:space="preserve"> </w:t>
      </w:r>
      <w:r w:rsidR="0029032A" w:rsidRPr="00AF2B5E">
        <w:rPr>
          <w:rFonts w:ascii="Times New Roman" w:hAnsi="Times New Roman"/>
          <w:i/>
          <w:sz w:val="18"/>
          <w:szCs w:val="18"/>
        </w:rPr>
        <w:t>Donje Podrinje is one of four sections</w:t>
      </w:r>
      <w:r w:rsidR="005B156E" w:rsidRPr="00AF2B5E">
        <w:rPr>
          <w:rFonts w:ascii="Times New Roman" w:hAnsi="Times New Roman"/>
          <w:i/>
          <w:sz w:val="18"/>
          <w:szCs w:val="18"/>
        </w:rPr>
        <w:t xml:space="preserve"> </w:t>
      </w:r>
      <w:r w:rsidR="0029032A" w:rsidRPr="00AF2B5E">
        <w:rPr>
          <w:rFonts w:ascii="Times New Roman" w:hAnsi="Times New Roman"/>
          <w:i/>
          <w:sz w:val="18"/>
          <w:szCs w:val="18"/>
        </w:rPr>
        <w:t>in the Drina River basin. It is the smallest and the most northen section, which occupies the western part of the Republic of Serbia, from Mali Zvornik to the confluence of the Drina River into the Sava River.</w:t>
      </w:r>
      <w:r w:rsidR="00DB14BE" w:rsidRPr="00AF2B5E">
        <w:rPr>
          <w:rFonts w:ascii="Times New Roman" w:hAnsi="Times New Roman"/>
          <w:i/>
          <w:sz w:val="18"/>
          <w:szCs w:val="18"/>
        </w:rPr>
        <w:t xml:space="preserve"> In the area of Donje Podrinje there are three important spa centers (Koviljača spa, Badanja spa and Radalj spa)</w:t>
      </w:r>
      <w:r w:rsidR="00C44448" w:rsidRPr="00AF2B5E">
        <w:rPr>
          <w:rFonts w:ascii="Times New Roman" w:hAnsi="Times New Roman"/>
          <w:i/>
          <w:sz w:val="18"/>
          <w:szCs w:val="18"/>
        </w:rPr>
        <w:t xml:space="preserve"> </w:t>
      </w:r>
      <w:r w:rsidR="00DB14BE" w:rsidRPr="00AF2B5E">
        <w:rPr>
          <w:rFonts w:ascii="Times New Roman" w:hAnsi="Times New Roman"/>
          <w:i/>
          <w:sz w:val="18"/>
          <w:szCs w:val="18"/>
        </w:rPr>
        <w:t xml:space="preserve">which belong to the </w:t>
      </w:r>
      <w:r w:rsidR="00C44448" w:rsidRPr="00AF2B5E">
        <w:rPr>
          <w:rFonts w:ascii="Times New Roman" w:hAnsi="Times New Roman"/>
          <w:i/>
          <w:sz w:val="18"/>
          <w:szCs w:val="18"/>
        </w:rPr>
        <w:t>Kolubara-Podrinje spa area. In order to determine the development of tourism intensity in spas of Donje Podrinje the indicators of tourism functionality have</w:t>
      </w:r>
      <w:r w:rsidR="00920224" w:rsidRPr="00AF2B5E">
        <w:rPr>
          <w:rFonts w:ascii="Times New Roman" w:hAnsi="Times New Roman"/>
          <w:i/>
          <w:sz w:val="18"/>
          <w:szCs w:val="18"/>
        </w:rPr>
        <w:t xml:space="preserve"> bee</w:t>
      </w:r>
      <w:r w:rsidR="00AD4418">
        <w:rPr>
          <w:rFonts w:ascii="Times New Roman" w:hAnsi="Times New Roman"/>
          <w:i/>
          <w:sz w:val="18"/>
          <w:szCs w:val="18"/>
        </w:rPr>
        <w:t>n used. Their application</w:t>
      </w:r>
      <w:r w:rsidR="00C44448" w:rsidRPr="00AF2B5E">
        <w:rPr>
          <w:rFonts w:ascii="Times New Roman" w:hAnsi="Times New Roman"/>
          <w:i/>
          <w:sz w:val="18"/>
          <w:szCs w:val="18"/>
        </w:rPr>
        <w:t xml:space="preserve"> indicate</w:t>
      </w:r>
      <w:r w:rsidR="00AD4418">
        <w:rPr>
          <w:rFonts w:ascii="Times New Roman" w:hAnsi="Times New Roman"/>
          <w:i/>
          <w:sz w:val="18"/>
          <w:szCs w:val="18"/>
        </w:rPr>
        <w:t>d</w:t>
      </w:r>
      <w:r w:rsidR="00C44448" w:rsidRPr="00AF2B5E">
        <w:rPr>
          <w:rFonts w:ascii="Times New Roman" w:hAnsi="Times New Roman"/>
          <w:i/>
          <w:sz w:val="18"/>
          <w:szCs w:val="18"/>
        </w:rPr>
        <w:t xml:space="preserve"> the </w:t>
      </w:r>
      <w:r w:rsidR="00920224" w:rsidRPr="00AF2B5E">
        <w:rPr>
          <w:rFonts w:ascii="Times New Roman" w:hAnsi="Times New Roman"/>
          <w:i/>
          <w:sz w:val="18"/>
          <w:szCs w:val="18"/>
        </w:rPr>
        <w:t xml:space="preserve">extent of </w:t>
      </w:r>
      <w:r w:rsidR="00C44448" w:rsidRPr="00AF2B5E">
        <w:rPr>
          <w:rFonts w:ascii="Times New Roman" w:hAnsi="Times New Roman"/>
          <w:i/>
          <w:sz w:val="18"/>
          <w:szCs w:val="18"/>
        </w:rPr>
        <w:t>tourism development in spa centers of Donje Podrinje</w:t>
      </w:r>
      <w:r w:rsidR="00920224" w:rsidRPr="00AF2B5E">
        <w:rPr>
          <w:rFonts w:ascii="Times New Roman" w:hAnsi="Times New Roman"/>
          <w:i/>
          <w:sz w:val="18"/>
          <w:szCs w:val="18"/>
        </w:rPr>
        <w:t xml:space="preserve"> from the chronological point of view</w:t>
      </w:r>
      <w:r w:rsidR="00C44448" w:rsidRPr="00AF2B5E">
        <w:rPr>
          <w:rFonts w:ascii="Times New Roman" w:hAnsi="Times New Roman"/>
          <w:i/>
          <w:sz w:val="18"/>
          <w:szCs w:val="18"/>
        </w:rPr>
        <w:t xml:space="preserve">. Also, </w:t>
      </w:r>
      <w:r w:rsidR="009039F9" w:rsidRPr="00AF2B5E">
        <w:rPr>
          <w:rFonts w:ascii="Times New Roman" w:hAnsi="Times New Roman"/>
          <w:i/>
          <w:sz w:val="18"/>
          <w:szCs w:val="18"/>
        </w:rPr>
        <w:t>methods of comparison and statist</w:t>
      </w:r>
      <w:r w:rsidR="00920224" w:rsidRPr="00AF2B5E">
        <w:rPr>
          <w:rFonts w:ascii="Times New Roman" w:hAnsi="Times New Roman"/>
          <w:i/>
          <w:sz w:val="18"/>
          <w:szCs w:val="18"/>
        </w:rPr>
        <w:t>ical analysis were applied to</w:t>
      </w:r>
      <w:r w:rsidR="009039F9" w:rsidRPr="00AF2B5E">
        <w:rPr>
          <w:rFonts w:ascii="Times New Roman" w:hAnsi="Times New Roman"/>
          <w:i/>
          <w:sz w:val="18"/>
          <w:szCs w:val="18"/>
        </w:rPr>
        <w:t xml:space="preserve"> determine which of these three spa centers is the most developed and </w:t>
      </w:r>
      <w:r w:rsidR="005B156E" w:rsidRPr="00AF2B5E">
        <w:rPr>
          <w:rFonts w:ascii="Times New Roman" w:hAnsi="Times New Roman"/>
          <w:i/>
          <w:sz w:val="18"/>
          <w:szCs w:val="18"/>
        </w:rPr>
        <w:t xml:space="preserve">the </w:t>
      </w:r>
      <w:r w:rsidR="009039F9" w:rsidRPr="00AF2B5E">
        <w:rPr>
          <w:rFonts w:ascii="Times New Roman" w:hAnsi="Times New Roman"/>
          <w:i/>
          <w:sz w:val="18"/>
          <w:szCs w:val="18"/>
        </w:rPr>
        <w:t>most visited. Accordingly, the survey results indicate that Koviljača spa is a tourist center of Donje Podrinje, and that B</w:t>
      </w:r>
      <w:r w:rsidR="00920224" w:rsidRPr="00AF2B5E">
        <w:rPr>
          <w:rFonts w:ascii="Times New Roman" w:hAnsi="Times New Roman"/>
          <w:i/>
          <w:sz w:val="18"/>
          <w:szCs w:val="18"/>
        </w:rPr>
        <w:t>adanja spa and Radalj spa have</w:t>
      </w:r>
      <w:r w:rsidR="009039F9" w:rsidRPr="00AF2B5E">
        <w:rPr>
          <w:rFonts w:ascii="Times New Roman" w:hAnsi="Times New Roman"/>
          <w:i/>
          <w:sz w:val="18"/>
          <w:szCs w:val="18"/>
        </w:rPr>
        <w:t xml:space="preserve"> great potential to be </w:t>
      </w:r>
      <w:r w:rsidR="00920224" w:rsidRPr="00AF2B5E">
        <w:rPr>
          <w:rFonts w:ascii="Times New Roman" w:hAnsi="Times New Roman"/>
          <w:i/>
          <w:sz w:val="18"/>
          <w:szCs w:val="18"/>
        </w:rPr>
        <w:t>more</w:t>
      </w:r>
      <w:r w:rsidR="009039F9" w:rsidRPr="00AF2B5E">
        <w:rPr>
          <w:rFonts w:ascii="Times New Roman" w:hAnsi="Times New Roman"/>
          <w:i/>
          <w:sz w:val="18"/>
          <w:szCs w:val="18"/>
        </w:rPr>
        <w:t xml:space="preserve"> established and </w:t>
      </w:r>
      <w:r w:rsidR="00920224" w:rsidRPr="00AF2B5E">
        <w:rPr>
          <w:rFonts w:ascii="Times New Roman" w:hAnsi="Times New Roman"/>
          <w:i/>
          <w:sz w:val="18"/>
          <w:szCs w:val="18"/>
        </w:rPr>
        <w:t xml:space="preserve">better </w:t>
      </w:r>
      <w:r w:rsidR="009039F9" w:rsidRPr="00AF2B5E">
        <w:rPr>
          <w:rFonts w:ascii="Times New Roman" w:hAnsi="Times New Roman"/>
          <w:i/>
          <w:sz w:val="18"/>
          <w:szCs w:val="18"/>
        </w:rPr>
        <w:t>presented to the tourist market.</w:t>
      </w:r>
    </w:p>
    <w:p w:rsidR="00F66E9D" w:rsidRPr="00F66E9D" w:rsidRDefault="00F66E9D" w:rsidP="00F66E9D">
      <w:pPr>
        <w:jc w:val="both"/>
        <w:rPr>
          <w:rFonts w:ascii="Times New Roman" w:hAnsi="Times New Roman"/>
          <w:b/>
          <w:sz w:val="18"/>
          <w:szCs w:val="18"/>
        </w:rPr>
      </w:pPr>
    </w:p>
    <w:p w:rsidR="00F66E9D" w:rsidRDefault="00F66E9D" w:rsidP="00F66E9D">
      <w:pPr>
        <w:jc w:val="both"/>
        <w:rPr>
          <w:rFonts w:ascii="Times New Roman" w:hAnsi="Times New Roman"/>
          <w:i/>
          <w:sz w:val="18"/>
          <w:szCs w:val="18"/>
        </w:rPr>
      </w:pPr>
      <w:r>
        <w:rPr>
          <w:rFonts w:ascii="Times New Roman" w:hAnsi="Times New Roman"/>
          <w:b/>
          <w:i/>
          <w:sz w:val="18"/>
          <w:szCs w:val="18"/>
        </w:rPr>
        <w:t xml:space="preserve">Key words: </w:t>
      </w:r>
      <w:r>
        <w:rPr>
          <w:rFonts w:ascii="Times New Roman" w:hAnsi="Times New Roman"/>
          <w:i/>
          <w:sz w:val="18"/>
          <w:szCs w:val="18"/>
        </w:rPr>
        <w:t xml:space="preserve">Donje Podrinje, spa centers, tourism intensity </w:t>
      </w:r>
    </w:p>
    <w:p w:rsidR="00213BD1" w:rsidRDefault="00213BD1" w:rsidP="00F66E9D">
      <w:pPr>
        <w:jc w:val="both"/>
        <w:rPr>
          <w:rFonts w:ascii="Times New Roman" w:hAnsi="Times New Roman"/>
          <w:i/>
          <w:sz w:val="18"/>
          <w:szCs w:val="18"/>
        </w:rPr>
      </w:pPr>
    </w:p>
    <w:p w:rsidR="00213BD1" w:rsidRPr="00213BD1" w:rsidRDefault="00213BD1" w:rsidP="00F66E9D">
      <w:pPr>
        <w:jc w:val="both"/>
        <w:rPr>
          <w:rFonts w:ascii="Times New Roman" w:hAnsi="Times New Roman"/>
          <w:b/>
          <w:i/>
          <w:sz w:val="22"/>
          <w:szCs w:val="22"/>
        </w:rPr>
      </w:pPr>
    </w:p>
    <w:p w:rsidR="00213BD1" w:rsidRDefault="00213BD1" w:rsidP="00F66E9D">
      <w:pPr>
        <w:jc w:val="both"/>
        <w:rPr>
          <w:rFonts w:ascii="Times New Roman" w:hAnsi="Times New Roman"/>
          <w:b/>
          <w:sz w:val="22"/>
          <w:szCs w:val="22"/>
        </w:rPr>
      </w:pPr>
      <w:r w:rsidRPr="00213BD1">
        <w:rPr>
          <w:rFonts w:ascii="Times New Roman" w:hAnsi="Times New Roman"/>
          <w:b/>
          <w:sz w:val="22"/>
          <w:szCs w:val="22"/>
        </w:rPr>
        <w:t>1. INTRODUCTION</w:t>
      </w:r>
    </w:p>
    <w:p w:rsidR="00213BD1" w:rsidRDefault="00213BD1" w:rsidP="00F66E9D">
      <w:pPr>
        <w:jc w:val="both"/>
        <w:rPr>
          <w:rFonts w:ascii="Times New Roman" w:hAnsi="Times New Roman"/>
          <w:b/>
          <w:sz w:val="22"/>
          <w:szCs w:val="22"/>
        </w:rPr>
      </w:pPr>
    </w:p>
    <w:p w:rsidR="00213BD1" w:rsidRDefault="00213BD1" w:rsidP="00F66E9D">
      <w:pPr>
        <w:jc w:val="both"/>
      </w:pPr>
      <w:r>
        <w:t xml:space="preserve">Geographically, the </w:t>
      </w:r>
      <w:r w:rsidRPr="00213BD1">
        <w:t>Podrinje</w:t>
      </w:r>
      <w:r>
        <w:t xml:space="preserve"> is one of the micro-region of </w:t>
      </w:r>
      <w:smartTag w:uri="urn:schemas-microsoft-com:office:smarttags" w:element="place">
        <w:r>
          <w:t>Western Serbia</w:t>
        </w:r>
      </w:smartTag>
      <w:r>
        <w:t xml:space="preserve">. It is a border region that covers the area on the both sides of the </w:t>
      </w:r>
      <w:smartTag w:uri="urn:schemas-microsoft-com:office:smarttags" w:element="place">
        <w:smartTag w:uri="urn:schemas-microsoft-com:office:smarttags" w:element="PlaceName">
          <w:r>
            <w:t>Drina</w:t>
          </w:r>
        </w:smartTag>
        <w:r>
          <w:t xml:space="preserve"> </w:t>
        </w:r>
        <w:smartTag w:uri="urn:schemas-microsoft-com:office:smarttags" w:element="PlaceType">
          <w:r>
            <w:t>River</w:t>
          </w:r>
        </w:smartTag>
      </w:smartTag>
      <w:r>
        <w:t xml:space="preserve">. So, it spreads on the territory of the </w:t>
      </w:r>
      <w:smartTag w:uri="urn:schemas-microsoft-com:office:smarttags" w:element="PlaceType">
        <w:r>
          <w:t>Republic</w:t>
        </w:r>
      </w:smartTag>
      <w:r>
        <w:t xml:space="preserve"> of </w:t>
      </w:r>
      <w:smartTag w:uri="urn:schemas-microsoft-com:office:smarttags" w:element="PlaceName">
        <w:r>
          <w:t>Serbia</w:t>
        </w:r>
      </w:smartTag>
      <w:r>
        <w:t xml:space="preserve"> and </w:t>
      </w:r>
      <w:smartTag w:uri="urn:schemas-microsoft-com:office:smarttags" w:element="country-region">
        <w:smartTag w:uri="urn:schemas-microsoft-com:office:smarttags" w:element="place">
          <w:r>
            <w:t>Bosnia and Herzegovina</w:t>
          </w:r>
        </w:smartTag>
      </w:smartTag>
      <w:r>
        <w:t>. It is named after the Drina</w:t>
      </w:r>
      <w:r w:rsidR="00B7471E">
        <w:t xml:space="preserve"> River</w:t>
      </w:r>
      <w:r>
        <w:t>, in wh</w:t>
      </w:r>
      <w:r w:rsidR="00B7471E">
        <w:t>ose</w:t>
      </w:r>
      <w:r>
        <w:t xml:space="preserve"> basin can be distinguished four different sections. The smallest and the most northern section</w:t>
      </w:r>
      <w:r w:rsidR="001A4F7A">
        <w:t xml:space="preserve"> is </w:t>
      </w:r>
      <w:r>
        <w:t xml:space="preserve">known as </w:t>
      </w:r>
      <w:r w:rsidRPr="00213BD1">
        <w:t>Donje</w:t>
      </w:r>
      <w:r>
        <w:t xml:space="preserve"> </w:t>
      </w:r>
      <w:r w:rsidRPr="00213BD1">
        <w:t>Podrinje.</w:t>
      </w:r>
      <w:r>
        <w:t xml:space="preserve"> </w:t>
      </w:r>
      <w:r w:rsidR="001A4F7A">
        <w:t xml:space="preserve">The term </w:t>
      </w:r>
      <w:r w:rsidR="001A4F7A" w:rsidRPr="001A4F7A">
        <w:t>Donje Podrinje</w:t>
      </w:r>
      <w:r w:rsidR="001A4F7A">
        <w:t xml:space="preserve"> is established according to th</w:t>
      </w:r>
      <w:r w:rsidR="00B7471E">
        <w:t xml:space="preserve">e natural features of the </w:t>
      </w:r>
      <w:r w:rsidR="001A4F7A">
        <w:t>Drina</w:t>
      </w:r>
      <w:r w:rsidR="00B7471E">
        <w:t xml:space="preserve"> River</w:t>
      </w:r>
      <w:r w:rsidR="001A4F7A">
        <w:t xml:space="preserve"> </w:t>
      </w:r>
      <w:r w:rsidR="001A4F7A" w:rsidRPr="00EB7F00">
        <w:rPr>
          <w:rFonts w:ascii="Times New Roman" w:hAnsi="Times New Roman"/>
        </w:rPr>
        <w:t>[1].</w:t>
      </w:r>
      <w:r w:rsidR="001A4F7A">
        <w:t xml:space="preserve"> It includes the basin of its lower course, from Mali </w:t>
      </w:r>
      <w:r w:rsidR="001A4F7A" w:rsidRPr="001A4F7A">
        <w:t>Zvornik</w:t>
      </w:r>
      <w:r w:rsidR="001A4F7A">
        <w:t xml:space="preserve"> to the confluence of the </w:t>
      </w:r>
      <w:smartTag w:uri="urn:schemas-microsoft-com:office:smarttags" w:element="PlaceName">
        <w:r w:rsidR="001A4F7A">
          <w:t>Drina</w:t>
        </w:r>
      </w:smartTag>
      <w:r w:rsidR="001A4F7A">
        <w:t xml:space="preserve"> </w:t>
      </w:r>
      <w:smartTag w:uri="urn:schemas-microsoft-com:office:smarttags" w:element="PlaceType">
        <w:r w:rsidR="001A4F7A">
          <w:t>River</w:t>
        </w:r>
      </w:smartTag>
      <w:r w:rsidR="001A4F7A">
        <w:t xml:space="preserve"> into the </w:t>
      </w:r>
      <w:smartTag w:uri="urn:schemas-microsoft-com:office:smarttags" w:element="place">
        <w:smartTag w:uri="urn:schemas-microsoft-com:office:smarttags" w:element="PlaceName">
          <w:r w:rsidR="001A4F7A">
            <w:t>Sava</w:t>
          </w:r>
        </w:smartTag>
        <w:r w:rsidR="001A4F7A">
          <w:t xml:space="preserve"> </w:t>
        </w:r>
        <w:smartTag w:uri="urn:schemas-microsoft-com:office:smarttags" w:element="PlaceType">
          <w:r w:rsidR="001A4F7A">
            <w:t>River</w:t>
          </w:r>
        </w:smartTag>
      </w:smartTag>
      <w:r w:rsidR="001A4F7A">
        <w:t>.</w:t>
      </w:r>
    </w:p>
    <w:p w:rsidR="001A4F7A" w:rsidRDefault="001A4F7A" w:rsidP="00F66E9D">
      <w:pPr>
        <w:jc w:val="both"/>
      </w:pPr>
      <w:r>
        <w:t xml:space="preserve">As a border region </w:t>
      </w:r>
      <w:r w:rsidRPr="001A4F7A">
        <w:t>Donje Podrinje</w:t>
      </w:r>
      <w:r>
        <w:t xml:space="preserve">, like other border areas </w:t>
      </w:r>
      <w:r w:rsidR="00B7471E">
        <w:t xml:space="preserve">of </w:t>
      </w:r>
      <w:r>
        <w:t xml:space="preserve">Serbia, is </w:t>
      </w:r>
      <w:r w:rsidR="00B7471E">
        <w:t xml:space="preserve">considered </w:t>
      </w:r>
      <w:r w:rsidR="009E42EC">
        <w:t xml:space="preserve">as </w:t>
      </w:r>
      <w:r>
        <w:t>a peripheral region in relation to major urban centers, development and infrastructur</w:t>
      </w:r>
      <w:r w:rsidR="00B7471E">
        <w:t>al</w:t>
      </w:r>
      <w:r>
        <w:t xml:space="preserve"> corridors. Throughout </w:t>
      </w:r>
      <w:r w:rsidR="00B7471E">
        <w:t>the history, the</w:t>
      </w:r>
      <w:r>
        <w:t xml:space="preserve"> Drina</w:t>
      </w:r>
      <w:r w:rsidR="00B7471E">
        <w:t xml:space="preserve"> River</w:t>
      </w:r>
      <w:r>
        <w:t xml:space="preserve"> was a factor of the separation </w:t>
      </w:r>
      <w:r w:rsidR="00B7471E">
        <w:t>and isolation rather than connection</w:t>
      </w:r>
      <w:r>
        <w:t xml:space="preserve"> and permeation </w:t>
      </w:r>
      <w:r w:rsidRPr="00EB7F00">
        <w:rPr>
          <w:rFonts w:ascii="Times New Roman" w:hAnsi="Times New Roman"/>
        </w:rPr>
        <w:t>[2].</w:t>
      </w:r>
      <w:r>
        <w:rPr>
          <w:rFonts w:ascii="Times New Roman" w:hAnsi="Times New Roman"/>
        </w:rPr>
        <w:t xml:space="preserve"> </w:t>
      </w:r>
      <w:r>
        <w:t xml:space="preserve">The isolation of </w:t>
      </w:r>
      <w:r w:rsidR="00B7471E">
        <w:t xml:space="preserve">the </w:t>
      </w:r>
      <w:r>
        <w:t xml:space="preserve">area and the establishment of the state border on the Drina </w:t>
      </w:r>
      <w:r w:rsidR="00193D72">
        <w:t>R</w:t>
      </w:r>
      <w:r w:rsidRPr="00193D72">
        <w:t xml:space="preserve">iver </w:t>
      </w:r>
      <w:r>
        <w:t xml:space="preserve">(after the breakup of the former Yugoslavia) have influenced the economic stagnation of </w:t>
      </w:r>
      <w:r w:rsidRPr="001A4F7A">
        <w:t>Donje Podrinje</w:t>
      </w:r>
      <w:r>
        <w:t xml:space="preserve"> and unfavorable demographic processes.</w:t>
      </w:r>
      <w:r w:rsidR="00193D72">
        <w:t xml:space="preserve"> </w:t>
      </w:r>
      <w:r w:rsidR="0088308D">
        <w:t>However, the</w:t>
      </w:r>
      <w:r w:rsidR="00193D72">
        <w:t xml:space="preserve"> processes of globalization have caused that </w:t>
      </w:r>
      <w:r w:rsidR="00193D72">
        <w:rPr>
          <w:rFonts w:ascii="Times New Roman" w:hAnsi="Times New Roman"/>
        </w:rPr>
        <w:t>“</w:t>
      </w:r>
      <w:r w:rsidR="00B7471E">
        <w:t>solid</w:t>
      </w:r>
      <w:r w:rsidR="00193D72">
        <w:rPr>
          <w:rFonts w:ascii="Times New Roman" w:hAnsi="Times New Roman"/>
        </w:rPr>
        <w:t>”</w:t>
      </w:r>
      <w:r w:rsidR="00193D72">
        <w:t xml:space="preserve"> b</w:t>
      </w:r>
      <w:r w:rsidR="0088308D">
        <w:t xml:space="preserve">orders </w:t>
      </w:r>
      <w:r w:rsidR="00B7471E">
        <w:t>become</w:t>
      </w:r>
      <w:r w:rsidR="00193D72">
        <w:t xml:space="preserve"> border zone areas of connection and cooperation of neighboring countries.</w:t>
      </w:r>
    </w:p>
    <w:p w:rsidR="0088308D" w:rsidRDefault="0088308D" w:rsidP="00F66E9D">
      <w:pPr>
        <w:jc w:val="both"/>
      </w:pPr>
      <w:r>
        <w:t>Modern research suggests that the development programs of border landscapes recogn</w:t>
      </w:r>
      <w:r w:rsidR="00553748">
        <w:t>ize tourism as a leading movement</w:t>
      </w:r>
      <w:r>
        <w:t xml:space="preserve"> industry. Regional networking, connecting and intertwining of natural, cultural, historical and</w:t>
      </w:r>
      <w:r w:rsidR="00553748">
        <w:t xml:space="preserve"> other elements of the space would make</w:t>
      </w:r>
      <w:r>
        <w:t xml:space="preserve"> the conditions that </w:t>
      </w:r>
      <w:r w:rsidRPr="0088308D">
        <w:t>Donje Podrinje</w:t>
      </w:r>
      <w:r>
        <w:t xml:space="preserve"> grow into a comprehensive tourist zone o</w:t>
      </w:r>
      <w:r w:rsidR="00553748">
        <w:t>f</w:t>
      </w:r>
      <w:r>
        <w:t xml:space="preserve"> various topics </w:t>
      </w:r>
      <w:r w:rsidRPr="00EB7F00">
        <w:rPr>
          <w:rFonts w:ascii="Times New Roman" w:hAnsi="Times New Roman"/>
          <w:color w:val="000000"/>
        </w:rPr>
        <w:t>[3].</w:t>
      </w:r>
      <w:r w:rsidRPr="00EB7F00">
        <w:rPr>
          <w:rFonts w:ascii="Times New Roman" w:hAnsi="Times New Roman"/>
        </w:rPr>
        <w:t xml:space="preserve"> </w:t>
      </w:r>
      <w:r>
        <w:t xml:space="preserve">The program </w:t>
      </w:r>
      <w:r w:rsidR="00286B8F">
        <w:t xml:space="preserve">of </w:t>
      </w:r>
      <w:r w:rsidRPr="00286B8F">
        <w:t>Podrinj</w:t>
      </w:r>
      <w:r w:rsidR="00286B8F">
        <w:t>e</w:t>
      </w:r>
      <w:r>
        <w:t xml:space="preserve"> </w:t>
      </w:r>
      <w:r w:rsidR="00286B8F">
        <w:t xml:space="preserve">development emphasizes the development </w:t>
      </w:r>
      <w:r>
        <w:t>and better promotion of selective forms of tourism and, consequently, spa tourism</w:t>
      </w:r>
      <w:r w:rsidR="00286B8F">
        <w:t xml:space="preserve"> </w:t>
      </w:r>
      <w:r w:rsidR="00286B8F" w:rsidRPr="00EB7F00">
        <w:rPr>
          <w:rFonts w:ascii="Times New Roman" w:hAnsi="Times New Roman"/>
        </w:rPr>
        <w:t>[4].</w:t>
      </w:r>
      <w:r w:rsidR="00286B8F">
        <w:rPr>
          <w:rFonts w:ascii="Times New Roman" w:hAnsi="Times New Roman"/>
        </w:rPr>
        <w:t xml:space="preserve"> </w:t>
      </w:r>
      <w:r w:rsidR="003A53EF">
        <w:t>In the border area of ​​</w:t>
      </w:r>
      <w:r w:rsidR="003A53EF" w:rsidRPr="003A53EF">
        <w:t>Donje Podrinje</w:t>
      </w:r>
      <w:r w:rsidR="003A53EF">
        <w:t xml:space="preserve"> there are three spa centers which belong to the </w:t>
      </w:r>
      <w:r w:rsidR="003A53EF" w:rsidRPr="003A53EF">
        <w:t>Kolubara-Podrinje</w:t>
      </w:r>
      <w:r w:rsidR="003A53EF">
        <w:t xml:space="preserve"> spa zone of Serbia. These are</w:t>
      </w:r>
      <w:r w:rsidR="003A53EF" w:rsidRPr="007849EC">
        <w:t xml:space="preserve">: Koviljača </w:t>
      </w:r>
      <w:r w:rsidR="007849EC" w:rsidRPr="007849EC">
        <w:t>Spa</w:t>
      </w:r>
      <w:r w:rsidR="003A53EF" w:rsidRPr="007849EC">
        <w:t xml:space="preserve">, </w:t>
      </w:r>
      <w:r w:rsidR="007849EC" w:rsidRPr="007849EC">
        <w:t xml:space="preserve">Badanja Spa and </w:t>
      </w:r>
      <w:r w:rsidR="003A53EF" w:rsidRPr="007849EC">
        <w:t>Radalj</w:t>
      </w:r>
      <w:r w:rsidR="007849EC" w:rsidRPr="007849EC">
        <w:t xml:space="preserve"> Spa</w:t>
      </w:r>
      <w:r w:rsidR="003A53EF">
        <w:t>.</w:t>
      </w:r>
      <w:r w:rsidR="00B85D53">
        <w:t xml:space="preserve"> Tourism development in these spas </w:t>
      </w:r>
      <w:r w:rsidR="00553748">
        <w:t>will be analyzed using the</w:t>
      </w:r>
      <w:r w:rsidR="00813016">
        <w:t xml:space="preserve"> </w:t>
      </w:r>
      <w:r w:rsidR="00B85D53">
        <w:t>indicat</w:t>
      </w:r>
      <w:r w:rsidR="00553748">
        <w:t>ors of functionality, which are</w:t>
      </w:r>
      <w:r w:rsidR="00B85D53">
        <w:t xml:space="preserve"> the subject of the paper. The aim of this paper is to highlight the current state of tourism development and the possibilities for its improvement.</w:t>
      </w:r>
    </w:p>
    <w:p w:rsidR="00B85D53" w:rsidRDefault="00B85D53" w:rsidP="00F66E9D">
      <w:pPr>
        <w:jc w:val="both"/>
      </w:pPr>
    </w:p>
    <w:p w:rsidR="00B85D53" w:rsidRDefault="00B85D53" w:rsidP="00F66E9D">
      <w:pPr>
        <w:jc w:val="both"/>
      </w:pPr>
    </w:p>
    <w:p w:rsidR="00B85D53" w:rsidRDefault="00B85D53" w:rsidP="00F66E9D">
      <w:pPr>
        <w:jc w:val="both"/>
        <w:rPr>
          <w:b/>
          <w:sz w:val="22"/>
          <w:szCs w:val="22"/>
        </w:rPr>
      </w:pPr>
      <w:r w:rsidRPr="00B85D53">
        <w:rPr>
          <w:b/>
          <w:sz w:val="22"/>
          <w:szCs w:val="22"/>
        </w:rPr>
        <w:t>2. THE SPA CENTERS OF DONJE PODRINJE</w:t>
      </w:r>
    </w:p>
    <w:p w:rsidR="00B85D53" w:rsidRDefault="00B85D53" w:rsidP="00F66E9D">
      <w:pPr>
        <w:jc w:val="both"/>
        <w:rPr>
          <w:rFonts w:ascii="Times New Roman" w:hAnsi="Times New Roman"/>
          <w:b/>
          <w:sz w:val="22"/>
          <w:szCs w:val="22"/>
        </w:rPr>
      </w:pPr>
    </w:p>
    <w:p w:rsidR="00B85D53" w:rsidRDefault="00B85D53" w:rsidP="00F66E9D">
      <w:pPr>
        <w:jc w:val="both"/>
      </w:pPr>
      <w:r>
        <w:t xml:space="preserve">Tourism in the border area represents the development </w:t>
      </w:r>
      <w:r w:rsidR="002B1C15">
        <w:t xml:space="preserve">potential </w:t>
      </w:r>
      <w:r>
        <w:t xml:space="preserve">of a </w:t>
      </w:r>
      <w:r w:rsidR="002B1C15">
        <w:t xml:space="preserve">particular </w:t>
      </w:r>
      <w:r>
        <w:t xml:space="preserve">tourist gravitational environment </w:t>
      </w:r>
      <w:r w:rsidRPr="00EB7F00">
        <w:rPr>
          <w:rFonts w:ascii="Times New Roman" w:hAnsi="Times New Roman"/>
        </w:rPr>
        <w:t>[5],</w:t>
      </w:r>
      <w:r>
        <w:t xml:space="preserve"> in our case </w:t>
      </w:r>
      <w:r w:rsidRPr="00B85D53">
        <w:t>Donje Podrinje.</w:t>
      </w:r>
      <w:r w:rsidR="002B1C15">
        <w:t xml:space="preserve"> Among</w:t>
      </w:r>
      <w:r>
        <w:t xml:space="preserve"> three spa centers that are located in this micro-region, only </w:t>
      </w:r>
      <w:r w:rsidRPr="00B85D53">
        <w:t>Koviljača</w:t>
      </w:r>
      <w:r>
        <w:t xml:space="preserve"> Spa is affirmed and recognized in the tourism market. Spa </w:t>
      </w:r>
      <w:r w:rsidRPr="00B85D53">
        <w:t>Badanja and Radalj</w:t>
      </w:r>
      <w:r>
        <w:t xml:space="preserve"> are unrecognized in the tourism market. Their adaptation and integration in tourist flows would lead to the strengthening of commercial activities and significant development at the local and regional level.</w:t>
      </w:r>
    </w:p>
    <w:p w:rsidR="002B1C15" w:rsidRPr="00B85D53" w:rsidRDefault="002B1C15" w:rsidP="00F66E9D">
      <w:pPr>
        <w:jc w:val="both"/>
        <w:rPr>
          <w:rFonts w:ascii="Times New Roman" w:hAnsi="Times New Roman"/>
          <w:b/>
          <w:sz w:val="22"/>
          <w:szCs w:val="22"/>
        </w:rPr>
      </w:pPr>
    </w:p>
    <w:p w:rsidR="00F66E9D" w:rsidRDefault="00F66E9D" w:rsidP="00F66E9D">
      <w:pPr>
        <w:jc w:val="center"/>
        <w:rPr>
          <w:rFonts w:ascii="Times New Roman" w:hAnsi="Times New Roman"/>
          <w:b/>
          <w:sz w:val="28"/>
          <w:szCs w:val="28"/>
        </w:rPr>
      </w:pPr>
    </w:p>
    <w:p w:rsidR="00DD759D" w:rsidRDefault="00DD759D" w:rsidP="00DD759D">
      <w:pPr>
        <w:numPr>
          <w:ilvl w:val="1"/>
          <w:numId w:val="2"/>
        </w:numPr>
        <w:tabs>
          <w:tab w:val="left" w:pos="0"/>
          <w:tab w:val="left" w:pos="360"/>
        </w:tabs>
        <w:ind w:left="270" w:hanging="270"/>
        <w:rPr>
          <w:rFonts w:ascii="Times New Roman" w:hAnsi="Times New Roman"/>
          <w:b/>
          <w:sz w:val="22"/>
          <w:szCs w:val="22"/>
        </w:rPr>
      </w:pPr>
      <w:r>
        <w:rPr>
          <w:rFonts w:ascii="Times New Roman" w:hAnsi="Times New Roman"/>
          <w:b/>
          <w:sz w:val="22"/>
          <w:szCs w:val="22"/>
        </w:rPr>
        <w:t xml:space="preserve"> Koviljača Spa </w:t>
      </w:r>
    </w:p>
    <w:p w:rsidR="00DD759D" w:rsidRDefault="00DD759D" w:rsidP="00DD759D">
      <w:pPr>
        <w:tabs>
          <w:tab w:val="left" w:pos="0"/>
          <w:tab w:val="left" w:pos="360"/>
        </w:tabs>
        <w:ind w:left="270"/>
        <w:rPr>
          <w:rFonts w:ascii="Times New Roman" w:hAnsi="Times New Roman"/>
          <w:b/>
          <w:sz w:val="22"/>
          <w:szCs w:val="22"/>
        </w:rPr>
      </w:pPr>
    </w:p>
    <w:p w:rsidR="00621849" w:rsidRDefault="00DD759D" w:rsidP="00621849">
      <w:pPr>
        <w:pStyle w:val="NormalWeb"/>
        <w:spacing w:before="0" w:beforeAutospacing="0" w:after="0" w:afterAutospacing="0"/>
        <w:jc w:val="both"/>
        <w:rPr>
          <w:sz w:val="20"/>
          <w:szCs w:val="20"/>
        </w:rPr>
      </w:pPr>
      <w:r w:rsidRPr="00621849">
        <w:rPr>
          <w:sz w:val="20"/>
          <w:szCs w:val="20"/>
        </w:rPr>
        <w:t xml:space="preserve">After Loznica, </w:t>
      </w:r>
      <w:r w:rsidR="00AD2560">
        <w:rPr>
          <w:sz w:val="20"/>
          <w:szCs w:val="20"/>
        </w:rPr>
        <w:t xml:space="preserve">the </w:t>
      </w:r>
      <w:r w:rsidRPr="00621849">
        <w:rPr>
          <w:sz w:val="20"/>
          <w:szCs w:val="20"/>
        </w:rPr>
        <w:t xml:space="preserve">Koviljača Spa is </w:t>
      </w:r>
      <w:r w:rsidR="002B1C15">
        <w:rPr>
          <w:sz w:val="20"/>
          <w:szCs w:val="20"/>
        </w:rPr>
        <w:t xml:space="preserve">the </w:t>
      </w:r>
      <w:r w:rsidRPr="00621849">
        <w:rPr>
          <w:sz w:val="20"/>
          <w:szCs w:val="20"/>
        </w:rPr>
        <w:t>second town on the territory of the City of Loznica.</w:t>
      </w:r>
      <w:r w:rsidR="004301BE" w:rsidRPr="00621849">
        <w:rPr>
          <w:sz w:val="20"/>
          <w:szCs w:val="20"/>
        </w:rPr>
        <w:t xml:space="preserve"> It is located on the right bank of the Drina River, along the road that connects Loznica and Mali Zvornik [6]. </w:t>
      </w:r>
      <w:r w:rsidR="00676678" w:rsidRPr="00621849">
        <w:rPr>
          <w:sz w:val="20"/>
          <w:szCs w:val="20"/>
        </w:rPr>
        <w:t xml:space="preserve">From Loznica is 6 km away, from Mali Zvornik 19 km and from Sabac 59 km. </w:t>
      </w:r>
      <w:r w:rsidR="00AD2560">
        <w:rPr>
          <w:sz w:val="20"/>
          <w:szCs w:val="20"/>
        </w:rPr>
        <w:t>Spa</w:t>
      </w:r>
      <w:r w:rsidR="00876905" w:rsidRPr="00621849">
        <w:rPr>
          <w:sz w:val="20"/>
          <w:szCs w:val="20"/>
        </w:rPr>
        <w:t xml:space="preserve"> has been developed at an altitude of 153 m. </w:t>
      </w:r>
      <w:r w:rsidR="00621849" w:rsidRPr="00621849">
        <w:rPr>
          <w:sz w:val="20"/>
          <w:szCs w:val="20"/>
        </w:rPr>
        <w:t>On spa</w:t>
      </w:r>
      <w:r w:rsidR="002B1C15">
        <w:rPr>
          <w:sz w:val="20"/>
          <w:szCs w:val="20"/>
        </w:rPr>
        <w:t xml:space="preserve">’s </w:t>
      </w:r>
      <w:r w:rsidR="00621849" w:rsidRPr="00621849">
        <w:rPr>
          <w:sz w:val="20"/>
          <w:szCs w:val="20"/>
        </w:rPr>
        <w:t>microclimate Gučevo Mountain (779 m), which rises from the southwest</w:t>
      </w:r>
      <w:r w:rsidR="002B1C15">
        <w:rPr>
          <w:sz w:val="20"/>
          <w:szCs w:val="20"/>
        </w:rPr>
        <w:t>, has a great influence</w:t>
      </w:r>
      <w:r w:rsidR="00621849" w:rsidRPr="00621849">
        <w:rPr>
          <w:sz w:val="20"/>
          <w:szCs w:val="20"/>
        </w:rPr>
        <w:t xml:space="preserve">. Moderate continental climate </w:t>
      </w:r>
      <w:r w:rsidR="002B1C15">
        <w:rPr>
          <w:sz w:val="20"/>
          <w:szCs w:val="20"/>
        </w:rPr>
        <w:t xml:space="preserve">is </w:t>
      </w:r>
      <w:r w:rsidR="00621849" w:rsidRPr="00621849">
        <w:rPr>
          <w:sz w:val="20"/>
          <w:szCs w:val="20"/>
        </w:rPr>
        <w:t xml:space="preserve">characterized by warm spa summer and moderately cold winters. Autumn is warmer than spring and </w:t>
      </w:r>
      <w:r w:rsidR="00621849">
        <w:rPr>
          <w:sz w:val="20"/>
          <w:szCs w:val="20"/>
        </w:rPr>
        <w:t xml:space="preserve">more </w:t>
      </w:r>
      <w:r w:rsidR="00621849" w:rsidRPr="00621849">
        <w:rPr>
          <w:sz w:val="20"/>
          <w:szCs w:val="20"/>
        </w:rPr>
        <w:t>suitable for the tourist industry.</w:t>
      </w:r>
      <w:r w:rsidR="00621849">
        <w:rPr>
          <w:sz w:val="20"/>
          <w:szCs w:val="20"/>
        </w:rPr>
        <w:t xml:space="preserve"> </w:t>
      </w:r>
      <w:r w:rsidR="00621849" w:rsidRPr="00621849">
        <w:rPr>
          <w:sz w:val="20"/>
          <w:szCs w:val="20"/>
        </w:rPr>
        <w:t>The average annual temperature is</w:t>
      </w:r>
      <w:r w:rsidR="00621849">
        <w:rPr>
          <w:sz w:val="20"/>
          <w:szCs w:val="20"/>
        </w:rPr>
        <w:t xml:space="preserve"> </w:t>
      </w:r>
      <w:r w:rsidR="00621849" w:rsidRPr="00621849">
        <w:rPr>
          <w:sz w:val="20"/>
          <w:szCs w:val="20"/>
        </w:rPr>
        <w:t>11,2</w:t>
      </w:r>
      <w:r w:rsidR="00621849" w:rsidRPr="00621849">
        <w:rPr>
          <w:sz w:val="20"/>
          <w:szCs w:val="20"/>
          <w:vertAlign w:val="superscript"/>
        </w:rPr>
        <w:t>o</w:t>
      </w:r>
      <w:r w:rsidR="00621849" w:rsidRPr="00621849">
        <w:rPr>
          <w:sz w:val="20"/>
          <w:szCs w:val="20"/>
        </w:rPr>
        <w:t>C.</w:t>
      </w:r>
      <w:r w:rsidR="00621849" w:rsidRPr="00EB7F00">
        <w:t xml:space="preserve"> </w:t>
      </w:r>
      <w:r w:rsidR="00621849" w:rsidRPr="00621849">
        <w:rPr>
          <w:sz w:val="20"/>
          <w:szCs w:val="20"/>
        </w:rPr>
        <w:t xml:space="preserve">Temperatures </w:t>
      </w:r>
      <w:r w:rsidR="00621849">
        <w:rPr>
          <w:sz w:val="20"/>
          <w:szCs w:val="20"/>
        </w:rPr>
        <w:t>of</w:t>
      </w:r>
      <w:r w:rsidR="00621849" w:rsidRPr="00621849">
        <w:rPr>
          <w:sz w:val="20"/>
          <w:szCs w:val="20"/>
        </w:rPr>
        <w:t xml:space="preserve"> 25</w:t>
      </w:r>
      <w:r w:rsidR="00621849">
        <w:rPr>
          <w:sz w:val="20"/>
          <w:szCs w:val="20"/>
          <w:vertAlign w:val="superscript"/>
        </w:rPr>
        <w:t>o</w:t>
      </w:r>
      <w:r w:rsidR="00621849" w:rsidRPr="00621849">
        <w:rPr>
          <w:sz w:val="20"/>
          <w:szCs w:val="20"/>
        </w:rPr>
        <w:t>C was observed over 80 days a year</w:t>
      </w:r>
      <w:r w:rsidR="002B1C15">
        <w:rPr>
          <w:sz w:val="20"/>
          <w:szCs w:val="20"/>
        </w:rPr>
        <w:t>, and i</w:t>
      </w:r>
      <w:r w:rsidR="00621849" w:rsidRPr="00621849">
        <w:rPr>
          <w:sz w:val="20"/>
          <w:szCs w:val="20"/>
        </w:rPr>
        <w:t xml:space="preserve">nsolation is 2025 hours per </w:t>
      </w:r>
      <w:r w:rsidR="002B1C15">
        <w:rPr>
          <w:sz w:val="20"/>
          <w:szCs w:val="20"/>
        </w:rPr>
        <w:t>year</w:t>
      </w:r>
      <w:r w:rsidR="00621849" w:rsidRPr="00621849">
        <w:rPr>
          <w:sz w:val="20"/>
          <w:szCs w:val="20"/>
        </w:rPr>
        <w:t>.</w:t>
      </w:r>
      <w:r w:rsidR="00621849">
        <w:rPr>
          <w:sz w:val="20"/>
          <w:szCs w:val="20"/>
        </w:rPr>
        <w:t xml:space="preserve"> </w:t>
      </w:r>
    </w:p>
    <w:p w:rsidR="009678D6" w:rsidRPr="009678D6" w:rsidRDefault="002B1C15" w:rsidP="009678D6">
      <w:pPr>
        <w:tabs>
          <w:tab w:val="left" w:pos="180"/>
        </w:tabs>
        <w:jc w:val="both"/>
        <w:rPr>
          <w:rFonts w:ascii="Times New Roman" w:hAnsi="Times New Roman"/>
        </w:rPr>
      </w:pPr>
      <w:r>
        <w:t xml:space="preserve">The </w:t>
      </w:r>
      <w:r w:rsidR="00621849" w:rsidRPr="00621849">
        <w:t>Koviljača</w:t>
      </w:r>
      <w:r w:rsidR="00621849">
        <w:t xml:space="preserve"> Spa</w:t>
      </w:r>
      <w:r w:rsidR="00621849" w:rsidRPr="00621849">
        <w:t xml:space="preserve"> as a rural village first mentioned in the Turkish census from the year 1533.</w:t>
      </w:r>
      <w:r w:rsidR="0075602F">
        <w:t xml:space="preserve"> </w:t>
      </w:r>
      <w:r w:rsidR="0075602F" w:rsidRPr="0075602F">
        <w:t>During the Turkish rule, the Turks from Mačva and Podrinje</w:t>
      </w:r>
      <w:r>
        <w:t xml:space="preserve"> </w:t>
      </w:r>
      <w:r w:rsidRPr="00DF3660">
        <w:t>were</w:t>
      </w:r>
      <w:r w:rsidR="0075602F" w:rsidRPr="00DF3660">
        <w:t xml:space="preserve"> </w:t>
      </w:r>
      <w:r w:rsidR="0075602F">
        <w:t xml:space="preserve">coming </w:t>
      </w:r>
      <w:r w:rsidR="0075602F" w:rsidRPr="0075602F">
        <w:t xml:space="preserve">to the spa to </w:t>
      </w:r>
      <w:r w:rsidR="0075602F">
        <w:t>bath in</w:t>
      </w:r>
      <w:r w:rsidR="0075602F" w:rsidRPr="0075602F">
        <w:t xml:space="preserve"> mineral water.</w:t>
      </w:r>
      <w:r w:rsidR="0075602F">
        <w:t xml:space="preserve"> </w:t>
      </w:r>
      <w:r>
        <w:t>The</w:t>
      </w:r>
      <w:r w:rsidR="0075602F" w:rsidRPr="0075602F">
        <w:t xml:space="preserve"> healing </w:t>
      </w:r>
      <w:r w:rsidR="0075602F">
        <w:t xml:space="preserve">effects of </w:t>
      </w:r>
      <w:r w:rsidR="0075602F" w:rsidRPr="0075602F">
        <w:t xml:space="preserve">spa </w:t>
      </w:r>
      <w:r>
        <w:t>springs are</w:t>
      </w:r>
      <w:r w:rsidR="0075602F" w:rsidRPr="0075602F">
        <w:t xml:space="preserve"> known since 1827, thanks to Vuk Stefanovic Karadžić.</w:t>
      </w:r>
      <w:r w:rsidR="004C76B1">
        <w:t xml:space="preserve"> </w:t>
      </w:r>
      <w:r w:rsidR="004C76B1" w:rsidRPr="004C76B1">
        <w:t>Describin</w:t>
      </w:r>
      <w:r>
        <w:t>g the spa and its surroundings,</w:t>
      </w:r>
      <w:r w:rsidR="004C76B1" w:rsidRPr="004C76B1">
        <w:t xml:space="preserve"> due to sulfuric sources </w:t>
      </w:r>
      <w:r>
        <w:t xml:space="preserve">he </w:t>
      </w:r>
      <w:r w:rsidR="004C76B1" w:rsidRPr="004C76B1">
        <w:t xml:space="preserve">called </w:t>
      </w:r>
      <w:r>
        <w:t xml:space="preserve">it the </w:t>
      </w:r>
      <w:r w:rsidR="004C76B1">
        <w:t>“Smelly spa”</w:t>
      </w:r>
      <w:r w:rsidR="004C76B1" w:rsidRPr="004C76B1">
        <w:t>.</w:t>
      </w:r>
      <w:r w:rsidR="004C76B1">
        <w:t xml:space="preserve"> The first written document </w:t>
      </w:r>
      <w:r w:rsidR="004C76B1" w:rsidRPr="004C76B1">
        <w:t xml:space="preserve">about the visitors </w:t>
      </w:r>
      <w:r w:rsidR="004C76B1">
        <w:t xml:space="preserve">in </w:t>
      </w:r>
      <w:r w:rsidR="00DF3660">
        <w:t xml:space="preserve">the </w:t>
      </w:r>
      <w:r w:rsidR="004C76B1" w:rsidRPr="004C76B1">
        <w:t xml:space="preserve">Koviljača </w:t>
      </w:r>
      <w:r w:rsidR="004C76B1">
        <w:t xml:space="preserve">Spa is </w:t>
      </w:r>
      <w:r w:rsidR="004C76B1" w:rsidRPr="004C76B1">
        <w:t>dating from the second half of the 19th century</w:t>
      </w:r>
      <w:r w:rsidR="004C76B1">
        <w:t xml:space="preserve"> </w:t>
      </w:r>
      <w:r w:rsidR="004C76B1" w:rsidRPr="004C76B1">
        <w:rPr>
          <w:rFonts w:ascii="Times New Roman" w:hAnsi="Times New Roman"/>
        </w:rPr>
        <w:t>[7].</w:t>
      </w:r>
      <w:r w:rsidR="009678D6">
        <w:t xml:space="preserve"> </w:t>
      </w:r>
      <w:r w:rsidR="00DF3660">
        <w:t>The</w:t>
      </w:r>
      <w:r w:rsidR="009678D6" w:rsidRPr="009678D6">
        <w:t xml:space="preserve"> </w:t>
      </w:r>
      <w:r w:rsidR="00DF3660">
        <w:t>a</w:t>
      </w:r>
      <w:r w:rsidR="009678D6" w:rsidRPr="009678D6">
        <w:t xml:space="preserve">uthors </w:t>
      </w:r>
      <w:r w:rsidR="00DF3660">
        <w:t xml:space="preserve">[8] </w:t>
      </w:r>
      <w:r w:rsidR="009678D6" w:rsidRPr="009678D6">
        <w:t xml:space="preserve">determine that in the last decades of the 20th century, a large number of different profiles of scientists </w:t>
      </w:r>
      <w:r w:rsidR="009678D6">
        <w:t xml:space="preserve">researched the </w:t>
      </w:r>
      <w:r w:rsidR="009678D6" w:rsidRPr="009678D6">
        <w:t>Koviljača Spa.</w:t>
      </w:r>
      <w:r w:rsidR="009678D6">
        <w:t xml:space="preserve"> N</w:t>
      </w:r>
      <w:r w:rsidR="009678D6" w:rsidRPr="009678D6">
        <w:t>ot only thermal, therm</w:t>
      </w:r>
      <w:r w:rsidR="009678D6">
        <w:t>o-mineral and mineral spa</w:t>
      </w:r>
      <w:r w:rsidR="009678D6" w:rsidRPr="009678D6">
        <w:t xml:space="preserve"> </w:t>
      </w:r>
      <w:r w:rsidR="009678D6">
        <w:t>waters h</w:t>
      </w:r>
      <w:r w:rsidR="009678D6" w:rsidRPr="009678D6">
        <w:t xml:space="preserve">ave been studied </w:t>
      </w:r>
      <w:r w:rsidR="009678D6" w:rsidRPr="00EB7F00">
        <w:rPr>
          <w:rFonts w:ascii="Times New Roman" w:hAnsi="Times New Roman"/>
        </w:rPr>
        <w:t>(</w:t>
      </w:r>
      <w:r w:rsidR="009678D6" w:rsidRPr="009678D6">
        <w:rPr>
          <w:rFonts w:ascii="Times New Roman" w:hAnsi="Times New Roman"/>
        </w:rPr>
        <w:t>Teofilović i dr., 1972; Protić, 1981, Protić&amp;Antonović, 1988; i dr.)</w:t>
      </w:r>
      <w:r w:rsidR="009678D6" w:rsidRPr="009678D6">
        <w:t>, but also its tourist features</w:t>
      </w:r>
      <w:r w:rsidR="009678D6" w:rsidRPr="009678D6">
        <w:rPr>
          <w:rFonts w:ascii="Times New Roman" w:hAnsi="Times New Roman"/>
        </w:rPr>
        <w:t xml:space="preserve"> (Kostić, 1981; Stanković, 1983, 1990/1991, 2004 i dr.) [8].</w:t>
      </w:r>
    </w:p>
    <w:p w:rsidR="00DD759D" w:rsidRDefault="00566B7C" w:rsidP="00917E82">
      <w:pPr>
        <w:pStyle w:val="NormalWeb"/>
        <w:spacing w:before="0" w:beforeAutospacing="0" w:after="0" w:afterAutospacing="0"/>
        <w:jc w:val="both"/>
        <w:rPr>
          <w:sz w:val="20"/>
          <w:szCs w:val="20"/>
        </w:rPr>
      </w:pPr>
      <w:r>
        <w:rPr>
          <w:sz w:val="20"/>
          <w:szCs w:val="20"/>
        </w:rPr>
        <w:t>In the spa, there are four hot sulfur</w:t>
      </w:r>
      <w:r w:rsidRPr="00566B7C">
        <w:rPr>
          <w:sz w:val="20"/>
          <w:szCs w:val="20"/>
        </w:rPr>
        <w:t xml:space="preserve"> s</w:t>
      </w:r>
      <w:r>
        <w:rPr>
          <w:sz w:val="20"/>
          <w:szCs w:val="20"/>
        </w:rPr>
        <w:t xml:space="preserve">prings. </w:t>
      </w:r>
      <w:r w:rsidRPr="00566B7C">
        <w:rPr>
          <w:sz w:val="20"/>
          <w:szCs w:val="20"/>
        </w:rPr>
        <w:t xml:space="preserve">The main source was capped in 1836. The first chemical analyzes </w:t>
      </w:r>
      <w:r w:rsidR="00995654">
        <w:rPr>
          <w:sz w:val="20"/>
          <w:szCs w:val="20"/>
        </w:rPr>
        <w:t>of water were performed in 1855,</w:t>
      </w:r>
      <w:r w:rsidRPr="00566B7C">
        <w:rPr>
          <w:sz w:val="20"/>
          <w:szCs w:val="20"/>
        </w:rPr>
        <w:t xml:space="preserve"> a</w:t>
      </w:r>
      <w:r w:rsidR="00995654">
        <w:rPr>
          <w:sz w:val="20"/>
          <w:szCs w:val="20"/>
        </w:rPr>
        <w:t>nd</w:t>
      </w:r>
      <w:r w:rsidRPr="00566B7C">
        <w:rPr>
          <w:sz w:val="20"/>
          <w:szCs w:val="20"/>
        </w:rPr>
        <w:t xml:space="preserve"> more extensive survey </w:t>
      </w:r>
      <w:r w:rsidR="00DF3660">
        <w:rPr>
          <w:sz w:val="20"/>
          <w:szCs w:val="20"/>
        </w:rPr>
        <w:t xml:space="preserve">was </w:t>
      </w:r>
      <w:r w:rsidRPr="00566B7C">
        <w:rPr>
          <w:sz w:val="20"/>
          <w:szCs w:val="20"/>
        </w:rPr>
        <w:t>in 1874</w:t>
      </w:r>
      <w:r w:rsidR="00995654">
        <w:rPr>
          <w:sz w:val="20"/>
          <w:szCs w:val="20"/>
        </w:rPr>
        <w:t xml:space="preserve">. </w:t>
      </w:r>
      <w:r w:rsidR="00995654" w:rsidRPr="00995654">
        <w:rPr>
          <w:sz w:val="20"/>
          <w:szCs w:val="20"/>
        </w:rPr>
        <w:t xml:space="preserve">The first well, </w:t>
      </w:r>
      <w:r w:rsidR="00995654">
        <w:rPr>
          <w:sz w:val="20"/>
          <w:szCs w:val="20"/>
        </w:rPr>
        <w:t>“</w:t>
      </w:r>
      <w:r w:rsidR="00995654" w:rsidRPr="00995654">
        <w:rPr>
          <w:sz w:val="20"/>
          <w:szCs w:val="20"/>
        </w:rPr>
        <w:t xml:space="preserve">Vuk </w:t>
      </w:r>
      <w:r w:rsidR="00995654" w:rsidRPr="00CF2A57">
        <w:rPr>
          <w:sz w:val="20"/>
          <w:szCs w:val="20"/>
        </w:rPr>
        <w:t>Karad</w:t>
      </w:r>
      <w:r w:rsidR="00CF2A57" w:rsidRPr="00CF2A57">
        <w:rPr>
          <w:sz w:val="20"/>
          <w:szCs w:val="20"/>
        </w:rPr>
        <w:t>ž</w:t>
      </w:r>
      <w:r w:rsidR="00995654" w:rsidRPr="00CF2A57">
        <w:rPr>
          <w:sz w:val="20"/>
          <w:szCs w:val="20"/>
        </w:rPr>
        <w:t>i</w:t>
      </w:r>
      <w:r w:rsidR="00CF2A57" w:rsidRPr="00CF2A57">
        <w:rPr>
          <w:sz w:val="20"/>
          <w:szCs w:val="20"/>
        </w:rPr>
        <w:t>ć</w:t>
      </w:r>
      <w:r w:rsidR="00995654">
        <w:rPr>
          <w:sz w:val="20"/>
          <w:szCs w:val="20"/>
        </w:rPr>
        <w:t xml:space="preserve">” was dug in 1899/1890. </w:t>
      </w:r>
      <w:r w:rsidR="00995654" w:rsidRPr="00995654">
        <w:rPr>
          <w:sz w:val="20"/>
          <w:szCs w:val="20"/>
        </w:rPr>
        <w:t>The sulfur water from this well</w:t>
      </w:r>
      <w:r w:rsidR="00995654">
        <w:rPr>
          <w:sz w:val="20"/>
          <w:szCs w:val="20"/>
        </w:rPr>
        <w:t xml:space="preserve"> is used for making healing mud. Healing</w:t>
      </w:r>
      <w:r w:rsidR="00995654" w:rsidRPr="00995654">
        <w:rPr>
          <w:sz w:val="20"/>
          <w:szCs w:val="20"/>
        </w:rPr>
        <w:t xml:space="preserve"> water</w:t>
      </w:r>
      <w:r w:rsidR="00995654">
        <w:rPr>
          <w:sz w:val="20"/>
          <w:szCs w:val="20"/>
        </w:rPr>
        <w:t>s from</w:t>
      </w:r>
      <w:r w:rsidR="00995654" w:rsidRPr="00995654">
        <w:rPr>
          <w:sz w:val="20"/>
          <w:szCs w:val="20"/>
        </w:rPr>
        <w:t xml:space="preserve"> three </w:t>
      </w:r>
      <w:r w:rsidR="00995654">
        <w:rPr>
          <w:sz w:val="20"/>
          <w:szCs w:val="20"/>
        </w:rPr>
        <w:t>other springs</w:t>
      </w:r>
      <w:r w:rsidR="00995654" w:rsidRPr="00995654">
        <w:rPr>
          <w:sz w:val="20"/>
          <w:szCs w:val="20"/>
        </w:rPr>
        <w:t xml:space="preserve"> (</w:t>
      </w:r>
      <w:r w:rsidR="00995654">
        <w:rPr>
          <w:sz w:val="20"/>
          <w:szCs w:val="20"/>
        </w:rPr>
        <w:t>“</w:t>
      </w:r>
      <w:r w:rsidR="00995654" w:rsidRPr="00995654">
        <w:rPr>
          <w:sz w:val="20"/>
          <w:szCs w:val="20"/>
        </w:rPr>
        <w:t>Vojvoda Anta</w:t>
      </w:r>
      <w:r w:rsidR="00995654">
        <w:rPr>
          <w:sz w:val="20"/>
          <w:szCs w:val="20"/>
        </w:rPr>
        <w:t>”</w:t>
      </w:r>
      <w:r w:rsidR="00995654" w:rsidRPr="00995654">
        <w:rPr>
          <w:sz w:val="20"/>
          <w:szCs w:val="20"/>
        </w:rPr>
        <w:t xml:space="preserve"> </w:t>
      </w:r>
      <w:r w:rsidR="00995654">
        <w:rPr>
          <w:sz w:val="20"/>
          <w:szCs w:val="20"/>
        </w:rPr>
        <w:t>“</w:t>
      </w:r>
      <w:r w:rsidR="00995654" w:rsidRPr="00995654">
        <w:rPr>
          <w:sz w:val="20"/>
          <w:szCs w:val="20"/>
        </w:rPr>
        <w:t>Jordan</w:t>
      </w:r>
      <w:r w:rsidR="00995654">
        <w:rPr>
          <w:sz w:val="20"/>
          <w:szCs w:val="20"/>
        </w:rPr>
        <w:t>”</w:t>
      </w:r>
      <w:r w:rsidR="00995654" w:rsidRPr="00995654">
        <w:rPr>
          <w:sz w:val="20"/>
          <w:szCs w:val="20"/>
        </w:rPr>
        <w:t xml:space="preserve"> and </w:t>
      </w:r>
      <w:r w:rsidR="00995654">
        <w:rPr>
          <w:sz w:val="20"/>
          <w:szCs w:val="20"/>
        </w:rPr>
        <w:t>“</w:t>
      </w:r>
      <w:r w:rsidR="00995654" w:rsidRPr="00995654">
        <w:rPr>
          <w:sz w:val="20"/>
          <w:szCs w:val="20"/>
        </w:rPr>
        <w:t>Bakarna voda</w:t>
      </w:r>
      <w:r w:rsidR="00995654">
        <w:rPr>
          <w:sz w:val="20"/>
          <w:szCs w:val="20"/>
        </w:rPr>
        <w:t>”) are used for the rinsing</w:t>
      </w:r>
      <w:r w:rsidR="00995654" w:rsidRPr="00995654">
        <w:rPr>
          <w:sz w:val="20"/>
          <w:szCs w:val="20"/>
        </w:rPr>
        <w:t xml:space="preserve"> the eyes and </w:t>
      </w:r>
      <w:r w:rsidR="00995654">
        <w:rPr>
          <w:sz w:val="20"/>
          <w:szCs w:val="20"/>
        </w:rPr>
        <w:t>drink</w:t>
      </w:r>
      <w:r w:rsidR="00DF3660">
        <w:rPr>
          <w:sz w:val="20"/>
          <w:szCs w:val="20"/>
        </w:rPr>
        <w:t>ing</w:t>
      </w:r>
      <w:r w:rsidR="00995654">
        <w:rPr>
          <w:sz w:val="20"/>
          <w:szCs w:val="20"/>
        </w:rPr>
        <w:t>. In t</w:t>
      </w:r>
      <w:r w:rsidR="00995654" w:rsidRPr="00995654">
        <w:rPr>
          <w:sz w:val="20"/>
          <w:szCs w:val="20"/>
        </w:rPr>
        <w:t xml:space="preserve">he beauty and healing properties </w:t>
      </w:r>
      <w:r w:rsidR="00995654">
        <w:rPr>
          <w:sz w:val="20"/>
          <w:szCs w:val="20"/>
        </w:rPr>
        <w:t xml:space="preserve">of </w:t>
      </w:r>
      <w:r w:rsidR="00995654" w:rsidRPr="00995654">
        <w:rPr>
          <w:sz w:val="20"/>
          <w:szCs w:val="20"/>
        </w:rPr>
        <w:t>Kovilja</w:t>
      </w:r>
      <w:r w:rsidR="00995654">
        <w:rPr>
          <w:sz w:val="20"/>
          <w:szCs w:val="20"/>
        </w:rPr>
        <w:t>č</w:t>
      </w:r>
      <w:r w:rsidR="00995654" w:rsidRPr="00995654">
        <w:rPr>
          <w:sz w:val="20"/>
          <w:szCs w:val="20"/>
        </w:rPr>
        <w:t xml:space="preserve">a </w:t>
      </w:r>
      <w:r w:rsidR="00995654">
        <w:rPr>
          <w:sz w:val="20"/>
          <w:szCs w:val="20"/>
        </w:rPr>
        <w:t xml:space="preserve">Spa </w:t>
      </w:r>
      <w:r w:rsidR="00995654" w:rsidRPr="00995654">
        <w:rPr>
          <w:sz w:val="20"/>
          <w:szCs w:val="20"/>
        </w:rPr>
        <w:t>enjoyed: Vuk Karadžić, Dositej Obradovic, Kara</w:t>
      </w:r>
      <w:r w:rsidR="00995654">
        <w:rPr>
          <w:sz w:val="20"/>
          <w:szCs w:val="20"/>
        </w:rPr>
        <w:t>đorđe Petrović</w:t>
      </w:r>
      <w:r w:rsidR="00995654" w:rsidRPr="00995654">
        <w:rPr>
          <w:sz w:val="20"/>
          <w:szCs w:val="20"/>
        </w:rPr>
        <w:t xml:space="preserve"> and Jovan Cvijić. </w:t>
      </w:r>
      <w:r w:rsidR="00355A25">
        <w:rPr>
          <w:sz w:val="20"/>
          <w:szCs w:val="20"/>
        </w:rPr>
        <w:t>The spa was</w:t>
      </w:r>
      <w:r w:rsidR="00355A25" w:rsidRPr="00355A25">
        <w:rPr>
          <w:sz w:val="20"/>
          <w:szCs w:val="20"/>
        </w:rPr>
        <w:t xml:space="preserve"> favorite amo</w:t>
      </w:r>
      <w:r w:rsidR="00040B30">
        <w:rPr>
          <w:sz w:val="20"/>
          <w:szCs w:val="20"/>
        </w:rPr>
        <w:t>ng the royal family of Karađorđ</w:t>
      </w:r>
      <w:r w:rsidR="00355A25" w:rsidRPr="00355A25">
        <w:rPr>
          <w:sz w:val="20"/>
          <w:szCs w:val="20"/>
        </w:rPr>
        <w:t>evi</w:t>
      </w:r>
      <w:r w:rsidR="00040B30">
        <w:rPr>
          <w:sz w:val="20"/>
          <w:szCs w:val="20"/>
        </w:rPr>
        <w:t>ć</w:t>
      </w:r>
      <w:r w:rsidR="00355A25" w:rsidRPr="00355A25">
        <w:rPr>
          <w:sz w:val="20"/>
          <w:szCs w:val="20"/>
        </w:rPr>
        <w:t>, which</w:t>
      </w:r>
      <w:r w:rsidR="00040B30">
        <w:rPr>
          <w:sz w:val="20"/>
          <w:szCs w:val="20"/>
        </w:rPr>
        <w:t xml:space="preserve"> </w:t>
      </w:r>
      <w:r w:rsidR="00DF3660">
        <w:rPr>
          <w:sz w:val="20"/>
          <w:szCs w:val="20"/>
        </w:rPr>
        <w:t>financially helped building the spa</w:t>
      </w:r>
      <w:r w:rsidR="00040B30">
        <w:rPr>
          <w:sz w:val="20"/>
          <w:szCs w:val="20"/>
        </w:rPr>
        <w:t xml:space="preserve">. The spa was </w:t>
      </w:r>
      <w:r w:rsidR="00040B30" w:rsidRPr="00040B30">
        <w:rPr>
          <w:sz w:val="20"/>
          <w:szCs w:val="20"/>
        </w:rPr>
        <w:t>oft</w:t>
      </w:r>
      <w:r w:rsidR="00040B30">
        <w:rPr>
          <w:sz w:val="20"/>
          <w:szCs w:val="20"/>
        </w:rPr>
        <w:t>en visited by King Petar I Karađ</w:t>
      </w:r>
      <w:r w:rsidR="00040B30" w:rsidRPr="00040B30">
        <w:rPr>
          <w:sz w:val="20"/>
          <w:szCs w:val="20"/>
        </w:rPr>
        <w:t>or</w:t>
      </w:r>
      <w:r w:rsidR="00040B30">
        <w:rPr>
          <w:sz w:val="20"/>
          <w:szCs w:val="20"/>
        </w:rPr>
        <w:t>đ</w:t>
      </w:r>
      <w:r w:rsidR="00040B30" w:rsidRPr="00040B30">
        <w:rPr>
          <w:sz w:val="20"/>
          <w:szCs w:val="20"/>
        </w:rPr>
        <w:t>evi</w:t>
      </w:r>
      <w:r w:rsidR="00040B30">
        <w:rPr>
          <w:sz w:val="20"/>
          <w:szCs w:val="20"/>
        </w:rPr>
        <w:t>ć</w:t>
      </w:r>
      <w:r w:rsidR="00040B30" w:rsidRPr="00040B30">
        <w:rPr>
          <w:sz w:val="20"/>
          <w:szCs w:val="20"/>
        </w:rPr>
        <w:t>.</w:t>
      </w:r>
      <w:r w:rsidR="00040B30">
        <w:rPr>
          <w:sz w:val="20"/>
          <w:szCs w:val="20"/>
        </w:rPr>
        <w:t xml:space="preserve"> Because of that</w:t>
      </w:r>
      <w:r w:rsidR="00040B30" w:rsidRPr="00040B30">
        <w:rPr>
          <w:sz w:val="20"/>
          <w:szCs w:val="20"/>
        </w:rPr>
        <w:t xml:space="preserve"> Koviljača </w:t>
      </w:r>
      <w:r w:rsidR="00040B30">
        <w:rPr>
          <w:sz w:val="20"/>
          <w:szCs w:val="20"/>
        </w:rPr>
        <w:t>Spa is called the</w:t>
      </w:r>
      <w:r w:rsidR="00040B30" w:rsidRPr="00040B30">
        <w:rPr>
          <w:sz w:val="20"/>
          <w:szCs w:val="20"/>
        </w:rPr>
        <w:t xml:space="preserve"> </w:t>
      </w:r>
      <w:r w:rsidR="00040B30">
        <w:rPr>
          <w:sz w:val="20"/>
          <w:szCs w:val="20"/>
        </w:rPr>
        <w:t>“royal spa</w:t>
      </w:r>
      <w:r w:rsidR="00040B30" w:rsidRPr="00040B30">
        <w:rPr>
          <w:sz w:val="20"/>
          <w:szCs w:val="20"/>
        </w:rPr>
        <w:t>”[9].</w:t>
      </w:r>
      <w:r w:rsidR="00040B30">
        <w:rPr>
          <w:sz w:val="20"/>
          <w:szCs w:val="20"/>
        </w:rPr>
        <w:t xml:space="preserve"> </w:t>
      </w:r>
      <w:r w:rsidR="00040B30" w:rsidRPr="00040B30">
        <w:rPr>
          <w:sz w:val="20"/>
          <w:szCs w:val="20"/>
        </w:rPr>
        <w:t>The firs</w:t>
      </w:r>
      <w:r w:rsidR="00040B30">
        <w:rPr>
          <w:sz w:val="20"/>
          <w:szCs w:val="20"/>
        </w:rPr>
        <w:t>t accommodation facility for</w:t>
      </w:r>
      <w:r w:rsidR="00040B30" w:rsidRPr="00040B30">
        <w:rPr>
          <w:sz w:val="20"/>
          <w:szCs w:val="20"/>
        </w:rPr>
        <w:t xml:space="preserve"> </w:t>
      </w:r>
      <w:r w:rsidR="00040B30">
        <w:rPr>
          <w:sz w:val="20"/>
          <w:szCs w:val="20"/>
        </w:rPr>
        <w:t>guest reception</w:t>
      </w:r>
      <w:r w:rsidR="00040B30" w:rsidRPr="00040B30">
        <w:rPr>
          <w:sz w:val="20"/>
          <w:szCs w:val="20"/>
        </w:rPr>
        <w:t xml:space="preserve"> was built in 1858</w:t>
      </w:r>
      <w:r w:rsidR="00040B30">
        <w:rPr>
          <w:sz w:val="20"/>
          <w:szCs w:val="20"/>
        </w:rPr>
        <w:t xml:space="preserve">. </w:t>
      </w:r>
      <w:r w:rsidR="00040B30" w:rsidRPr="00040B30">
        <w:rPr>
          <w:sz w:val="20"/>
          <w:szCs w:val="20"/>
        </w:rPr>
        <w:t xml:space="preserve">The main spa bath (King Peter I) was built in 1907. Until the First World War hotel </w:t>
      </w:r>
      <w:r w:rsidR="003A2BDE">
        <w:rPr>
          <w:sz w:val="20"/>
          <w:szCs w:val="20"/>
        </w:rPr>
        <w:t>“</w:t>
      </w:r>
      <w:r w:rsidR="00040B30" w:rsidRPr="00040B30">
        <w:rPr>
          <w:sz w:val="20"/>
          <w:szCs w:val="20"/>
        </w:rPr>
        <w:t>Podrinje</w:t>
      </w:r>
      <w:r w:rsidR="003A2BDE">
        <w:rPr>
          <w:sz w:val="20"/>
          <w:szCs w:val="20"/>
        </w:rPr>
        <w:t>”</w:t>
      </w:r>
      <w:r w:rsidR="00040B30" w:rsidRPr="00040B30">
        <w:rPr>
          <w:sz w:val="20"/>
          <w:szCs w:val="20"/>
        </w:rPr>
        <w:t xml:space="preserve"> with 20 rooms and villas </w:t>
      </w:r>
      <w:r w:rsidR="003A2BDE">
        <w:rPr>
          <w:sz w:val="20"/>
          <w:szCs w:val="20"/>
        </w:rPr>
        <w:t>“</w:t>
      </w:r>
      <w:r w:rsidR="00040B30" w:rsidRPr="00040B30">
        <w:rPr>
          <w:sz w:val="20"/>
          <w:szCs w:val="20"/>
        </w:rPr>
        <w:t>Koviljača</w:t>
      </w:r>
      <w:r w:rsidR="003A2BDE">
        <w:rPr>
          <w:sz w:val="20"/>
          <w:szCs w:val="20"/>
        </w:rPr>
        <w:t>”</w:t>
      </w:r>
      <w:r w:rsidR="00040B30" w:rsidRPr="00040B30">
        <w:rPr>
          <w:sz w:val="20"/>
          <w:szCs w:val="20"/>
        </w:rPr>
        <w:t xml:space="preserve"> and </w:t>
      </w:r>
      <w:r w:rsidR="003A2BDE">
        <w:rPr>
          <w:sz w:val="20"/>
          <w:szCs w:val="20"/>
        </w:rPr>
        <w:t>“</w:t>
      </w:r>
      <w:r w:rsidR="00040B30" w:rsidRPr="00040B30">
        <w:rPr>
          <w:sz w:val="20"/>
          <w:szCs w:val="20"/>
        </w:rPr>
        <w:t>Bosnia</w:t>
      </w:r>
      <w:r w:rsidR="003A2BDE">
        <w:rPr>
          <w:sz w:val="20"/>
          <w:szCs w:val="20"/>
        </w:rPr>
        <w:t>” were</w:t>
      </w:r>
      <w:r w:rsidR="003A2BDE" w:rsidRPr="00040B30">
        <w:rPr>
          <w:sz w:val="20"/>
          <w:szCs w:val="20"/>
        </w:rPr>
        <w:t xml:space="preserve"> built</w:t>
      </w:r>
      <w:r w:rsidR="003A2BDE">
        <w:rPr>
          <w:sz w:val="20"/>
          <w:szCs w:val="20"/>
        </w:rPr>
        <w:t xml:space="preserve">. </w:t>
      </w:r>
      <w:r w:rsidR="00917E82">
        <w:rPr>
          <w:sz w:val="20"/>
          <w:szCs w:val="20"/>
        </w:rPr>
        <w:t>They have</w:t>
      </w:r>
      <w:r w:rsidR="00917E82" w:rsidRPr="00917E82">
        <w:rPr>
          <w:sz w:val="20"/>
          <w:szCs w:val="20"/>
        </w:rPr>
        <w:t xml:space="preserve"> 40 rooms with 100 beds</w:t>
      </w:r>
      <w:r w:rsidR="00917E82" w:rsidRPr="00FB7685">
        <w:rPr>
          <w:sz w:val="20"/>
          <w:szCs w:val="20"/>
        </w:rPr>
        <w:t xml:space="preserve">. </w:t>
      </w:r>
      <w:r w:rsidR="00DF3660">
        <w:rPr>
          <w:sz w:val="20"/>
          <w:szCs w:val="20"/>
        </w:rPr>
        <w:t>In the period between</w:t>
      </w:r>
      <w:r w:rsidR="00FB7685" w:rsidRPr="00FB7685">
        <w:rPr>
          <w:sz w:val="20"/>
          <w:szCs w:val="20"/>
        </w:rPr>
        <w:t xml:space="preserve"> two world wars villa</w:t>
      </w:r>
      <w:r w:rsidR="00FB7685">
        <w:rPr>
          <w:sz w:val="20"/>
          <w:szCs w:val="20"/>
        </w:rPr>
        <w:t>s</w:t>
      </w:r>
      <w:r w:rsidR="00FB7685" w:rsidRPr="00FB7685">
        <w:rPr>
          <w:sz w:val="20"/>
          <w:szCs w:val="20"/>
        </w:rPr>
        <w:t xml:space="preserve"> </w:t>
      </w:r>
      <w:r w:rsidR="00FB7685">
        <w:rPr>
          <w:sz w:val="20"/>
          <w:szCs w:val="20"/>
        </w:rPr>
        <w:t>“</w:t>
      </w:r>
      <w:r w:rsidR="00FB7685" w:rsidRPr="00FB7685">
        <w:rPr>
          <w:sz w:val="20"/>
          <w:szCs w:val="20"/>
        </w:rPr>
        <w:t>Dalmacija</w:t>
      </w:r>
      <w:r w:rsidR="00FB7685">
        <w:rPr>
          <w:sz w:val="20"/>
          <w:szCs w:val="20"/>
        </w:rPr>
        <w:t>”</w:t>
      </w:r>
      <w:r w:rsidR="00FB7685" w:rsidRPr="00FB7685">
        <w:rPr>
          <w:sz w:val="20"/>
          <w:szCs w:val="20"/>
        </w:rPr>
        <w:t xml:space="preserve"> and </w:t>
      </w:r>
      <w:r w:rsidR="00FB7685">
        <w:rPr>
          <w:sz w:val="20"/>
          <w:szCs w:val="20"/>
        </w:rPr>
        <w:t>“</w:t>
      </w:r>
      <w:r w:rsidR="00FB7685" w:rsidRPr="00FB7685">
        <w:rPr>
          <w:sz w:val="20"/>
          <w:szCs w:val="20"/>
        </w:rPr>
        <w:t>Hercegovina</w:t>
      </w:r>
      <w:r w:rsidR="00FB7685">
        <w:rPr>
          <w:sz w:val="20"/>
          <w:szCs w:val="20"/>
        </w:rPr>
        <w:t xml:space="preserve">” </w:t>
      </w:r>
      <w:r w:rsidR="00FB7685" w:rsidRPr="00FB7685">
        <w:rPr>
          <w:sz w:val="20"/>
          <w:szCs w:val="20"/>
        </w:rPr>
        <w:t>were built.</w:t>
      </w:r>
      <w:r w:rsidR="00F16758">
        <w:rPr>
          <w:sz w:val="20"/>
          <w:szCs w:val="20"/>
        </w:rPr>
        <w:t xml:space="preserve"> In 1932 </w:t>
      </w:r>
      <w:r w:rsidR="00F16758" w:rsidRPr="00F16758">
        <w:rPr>
          <w:sz w:val="20"/>
          <w:szCs w:val="20"/>
        </w:rPr>
        <w:t xml:space="preserve"> Kur-salon, and facilities </w:t>
      </w:r>
      <w:r w:rsidR="00F16758">
        <w:rPr>
          <w:sz w:val="20"/>
          <w:szCs w:val="20"/>
        </w:rPr>
        <w:t>“</w:t>
      </w:r>
      <w:r w:rsidR="00F16758" w:rsidRPr="00F16758">
        <w:rPr>
          <w:sz w:val="20"/>
          <w:szCs w:val="20"/>
        </w:rPr>
        <w:t>Standard</w:t>
      </w:r>
      <w:r w:rsidR="00F16758">
        <w:rPr>
          <w:sz w:val="20"/>
          <w:szCs w:val="20"/>
        </w:rPr>
        <w:t>”</w:t>
      </w:r>
      <w:r w:rsidR="00F16758" w:rsidRPr="00F16758">
        <w:rPr>
          <w:sz w:val="20"/>
          <w:szCs w:val="20"/>
        </w:rPr>
        <w:t xml:space="preserve">, </w:t>
      </w:r>
      <w:r w:rsidR="00F16758">
        <w:rPr>
          <w:sz w:val="20"/>
          <w:szCs w:val="20"/>
        </w:rPr>
        <w:t>“</w:t>
      </w:r>
      <w:r w:rsidR="001C6330">
        <w:rPr>
          <w:sz w:val="20"/>
          <w:szCs w:val="20"/>
        </w:rPr>
        <w:t>Javor</w:t>
      </w:r>
      <w:r w:rsidR="00F16758">
        <w:rPr>
          <w:sz w:val="20"/>
          <w:szCs w:val="20"/>
        </w:rPr>
        <w:t>”</w:t>
      </w:r>
      <w:r w:rsidR="00F16758" w:rsidRPr="00F16758">
        <w:rPr>
          <w:sz w:val="20"/>
          <w:szCs w:val="20"/>
        </w:rPr>
        <w:t>,</w:t>
      </w:r>
      <w:r w:rsidR="00F16758">
        <w:rPr>
          <w:sz w:val="20"/>
          <w:szCs w:val="20"/>
        </w:rPr>
        <w:t xml:space="preserve"> “</w:t>
      </w:r>
      <w:r w:rsidR="00F16758" w:rsidRPr="00F16758">
        <w:rPr>
          <w:sz w:val="20"/>
          <w:szCs w:val="20"/>
        </w:rPr>
        <w:t>Belgrade</w:t>
      </w:r>
      <w:r w:rsidR="00F16758">
        <w:rPr>
          <w:sz w:val="20"/>
          <w:szCs w:val="20"/>
        </w:rPr>
        <w:t>”</w:t>
      </w:r>
      <w:r w:rsidR="00F16758" w:rsidRPr="00F16758">
        <w:rPr>
          <w:sz w:val="20"/>
          <w:szCs w:val="20"/>
        </w:rPr>
        <w:t xml:space="preserve"> and </w:t>
      </w:r>
      <w:r w:rsidR="00F16758">
        <w:rPr>
          <w:sz w:val="20"/>
          <w:szCs w:val="20"/>
        </w:rPr>
        <w:t>“</w:t>
      </w:r>
      <w:r w:rsidR="00F16758" w:rsidRPr="00F16758">
        <w:rPr>
          <w:sz w:val="20"/>
          <w:szCs w:val="20"/>
        </w:rPr>
        <w:t>Serbia</w:t>
      </w:r>
      <w:r w:rsidR="00F16758">
        <w:rPr>
          <w:sz w:val="20"/>
          <w:szCs w:val="20"/>
        </w:rPr>
        <w:t>” were opened</w:t>
      </w:r>
      <w:r w:rsidR="00F16758" w:rsidRPr="00F16758">
        <w:rPr>
          <w:sz w:val="20"/>
          <w:szCs w:val="20"/>
        </w:rPr>
        <w:t>.</w:t>
      </w:r>
    </w:p>
    <w:p w:rsidR="00DD759D" w:rsidRDefault="00B6126F" w:rsidP="00240467">
      <w:pPr>
        <w:pStyle w:val="NormalWeb"/>
        <w:spacing w:before="0" w:beforeAutospacing="0" w:after="0" w:afterAutospacing="0"/>
        <w:jc w:val="both"/>
        <w:rPr>
          <w:sz w:val="20"/>
          <w:szCs w:val="20"/>
        </w:rPr>
      </w:pPr>
      <w:r>
        <w:rPr>
          <w:sz w:val="20"/>
          <w:szCs w:val="20"/>
        </w:rPr>
        <w:t>Today</w:t>
      </w:r>
      <w:r w:rsidRPr="00B6126F">
        <w:rPr>
          <w:sz w:val="20"/>
          <w:szCs w:val="20"/>
        </w:rPr>
        <w:t xml:space="preserve"> Koviljača</w:t>
      </w:r>
      <w:r>
        <w:rPr>
          <w:sz w:val="20"/>
          <w:szCs w:val="20"/>
        </w:rPr>
        <w:t xml:space="preserve"> Spa</w:t>
      </w:r>
      <w:r w:rsidRPr="00B6126F">
        <w:rPr>
          <w:sz w:val="20"/>
          <w:szCs w:val="20"/>
        </w:rPr>
        <w:t xml:space="preserve"> has about 2,500 beds</w:t>
      </w:r>
      <w:r>
        <w:rPr>
          <w:sz w:val="20"/>
          <w:szCs w:val="20"/>
        </w:rPr>
        <w:t xml:space="preserve">. </w:t>
      </w:r>
      <w:r w:rsidRPr="00B6126F">
        <w:rPr>
          <w:sz w:val="20"/>
          <w:szCs w:val="20"/>
        </w:rPr>
        <w:t xml:space="preserve">The holder of the hospitality and tourism industry is a hotel-tourist company </w:t>
      </w:r>
      <w:r>
        <w:rPr>
          <w:sz w:val="20"/>
          <w:szCs w:val="20"/>
        </w:rPr>
        <w:t>“</w:t>
      </w:r>
      <w:r w:rsidRPr="00B6126F">
        <w:rPr>
          <w:sz w:val="20"/>
          <w:szCs w:val="20"/>
        </w:rPr>
        <w:t>Koviljača</w:t>
      </w:r>
      <w:r>
        <w:rPr>
          <w:sz w:val="20"/>
          <w:szCs w:val="20"/>
        </w:rPr>
        <w:t xml:space="preserve"> Spa”</w:t>
      </w:r>
      <w:r w:rsidRPr="00B6126F">
        <w:rPr>
          <w:sz w:val="20"/>
          <w:szCs w:val="20"/>
        </w:rPr>
        <w:t>.</w:t>
      </w:r>
      <w:r w:rsidR="00331F4E">
        <w:rPr>
          <w:sz w:val="20"/>
          <w:szCs w:val="20"/>
        </w:rPr>
        <w:t xml:space="preserve"> </w:t>
      </w:r>
      <w:r w:rsidR="00DF3660">
        <w:rPr>
          <w:sz w:val="20"/>
          <w:szCs w:val="20"/>
        </w:rPr>
        <w:t>The part of the company</w:t>
      </w:r>
      <w:r w:rsidR="00151BB4">
        <w:rPr>
          <w:sz w:val="20"/>
          <w:szCs w:val="20"/>
        </w:rPr>
        <w:t xml:space="preserve"> are</w:t>
      </w:r>
      <w:r w:rsidR="00151BB4" w:rsidRPr="00151BB4">
        <w:rPr>
          <w:sz w:val="20"/>
          <w:szCs w:val="20"/>
        </w:rPr>
        <w:t xml:space="preserve"> hotel</w:t>
      </w:r>
      <w:r w:rsidR="00DF3660">
        <w:rPr>
          <w:sz w:val="20"/>
          <w:szCs w:val="20"/>
        </w:rPr>
        <w:t>s</w:t>
      </w:r>
      <w:r w:rsidR="00151BB4" w:rsidRPr="00151BB4">
        <w:rPr>
          <w:sz w:val="20"/>
          <w:szCs w:val="20"/>
        </w:rPr>
        <w:t xml:space="preserve"> </w:t>
      </w:r>
      <w:r w:rsidR="00151BB4">
        <w:rPr>
          <w:sz w:val="20"/>
          <w:szCs w:val="20"/>
        </w:rPr>
        <w:t>“</w:t>
      </w:r>
      <w:r w:rsidR="00DF3660" w:rsidRPr="00DF3660">
        <w:rPr>
          <w:sz w:val="20"/>
          <w:szCs w:val="20"/>
        </w:rPr>
        <w:t>Podrinje</w:t>
      </w:r>
      <w:r w:rsidR="00151BB4">
        <w:rPr>
          <w:sz w:val="20"/>
          <w:szCs w:val="20"/>
        </w:rPr>
        <w:t>”</w:t>
      </w:r>
      <w:r w:rsidR="00151BB4" w:rsidRPr="00151BB4">
        <w:rPr>
          <w:sz w:val="20"/>
          <w:szCs w:val="20"/>
        </w:rPr>
        <w:t xml:space="preserve"> (160 beds)</w:t>
      </w:r>
      <w:r w:rsidR="00151BB4">
        <w:rPr>
          <w:sz w:val="20"/>
          <w:szCs w:val="20"/>
        </w:rPr>
        <w:t xml:space="preserve">, </w:t>
      </w:r>
      <w:r w:rsidR="00151BB4" w:rsidRPr="00151BB4">
        <w:rPr>
          <w:sz w:val="20"/>
          <w:szCs w:val="20"/>
        </w:rPr>
        <w:t xml:space="preserve">Resort </w:t>
      </w:r>
      <w:r w:rsidR="00151BB4">
        <w:rPr>
          <w:sz w:val="20"/>
          <w:szCs w:val="20"/>
        </w:rPr>
        <w:t>“</w:t>
      </w:r>
      <w:r w:rsidR="00151BB4" w:rsidRPr="00151BB4">
        <w:rPr>
          <w:sz w:val="20"/>
          <w:szCs w:val="20"/>
        </w:rPr>
        <w:t>Gučevo</w:t>
      </w:r>
      <w:r w:rsidR="00151BB4">
        <w:rPr>
          <w:sz w:val="20"/>
          <w:szCs w:val="20"/>
        </w:rPr>
        <w:t>”</w:t>
      </w:r>
      <w:r w:rsidR="00151BB4" w:rsidRPr="00151BB4">
        <w:rPr>
          <w:sz w:val="20"/>
          <w:szCs w:val="20"/>
        </w:rPr>
        <w:t xml:space="preserve"> (130 beds) and spa villa </w:t>
      </w:r>
      <w:r w:rsidR="00151BB4">
        <w:rPr>
          <w:sz w:val="20"/>
          <w:szCs w:val="20"/>
        </w:rPr>
        <w:t>“</w:t>
      </w:r>
      <w:r w:rsidR="00151BB4" w:rsidRPr="00151BB4">
        <w:rPr>
          <w:sz w:val="20"/>
          <w:szCs w:val="20"/>
        </w:rPr>
        <w:t>Beograd</w:t>
      </w:r>
      <w:r w:rsidR="00151BB4">
        <w:rPr>
          <w:sz w:val="20"/>
          <w:szCs w:val="20"/>
        </w:rPr>
        <w:t>”</w:t>
      </w:r>
      <w:r w:rsidR="00151BB4" w:rsidRPr="00151BB4">
        <w:rPr>
          <w:sz w:val="20"/>
          <w:szCs w:val="20"/>
        </w:rPr>
        <w:t xml:space="preserve"> (44 beds).</w:t>
      </w:r>
      <w:r w:rsidR="00151BB4">
        <w:rPr>
          <w:sz w:val="20"/>
          <w:szCs w:val="20"/>
        </w:rPr>
        <w:t xml:space="preserve"> </w:t>
      </w:r>
      <w:r w:rsidR="00151BB4" w:rsidRPr="00151BB4">
        <w:rPr>
          <w:sz w:val="20"/>
          <w:szCs w:val="20"/>
        </w:rPr>
        <w:t xml:space="preserve">The holder of medical tourism is the </w:t>
      </w:r>
      <w:smartTag w:uri="urn:schemas-microsoft-com:office:smarttags" w:element="place">
        <w:smartTag w:uri="urn:schemas-microsoft-com:office:smarttags" w:element="PlaceName">
          <w:r w:rsidR="00151BB4" w:rsidRPr="00151BB4">
            <w:rPr>
              <w:sz w:val="20"/>
              <w:szCs w:val="20"/>
            </w:rPr>
            <w:t>Special</w:t>
          </w:r>
        </w:smartTag>
        <w:r w:rsidR="00151BB4" w:rsidRPr="00151BB4">
          <w:rPr>
            <w:sz w:val="20"/>
            <w:szCs w:val="20"/>
          </w:rPr>
          <w:t xml:space="preserve"> </w:t>
        </w:r>
        <w:smartTag w:uri="urn:schemas-microsoft-com:office:smarttags" w:element="PlaceName">
          <w:r w:rsidR="00151BB4" w:rsidRPr="00151BB4">
            <w:rPr>
              <w:sz w:val="20"/>
              <w:szCs w:val="20"/>
            </w:rPr>
            <w:t>Rehabilitation</w:t>
          </w:r>
        </w:smartTag>
        <w:r w:rsidR="00151BB4" w:rsidRPr="00151BB4">
          <w:rPr>
            <w:sz w:val="20"/>
            <w:szCs w:val="20"/>
          </w:rPr>
          <w:t xml:space="preserve"> </w:t>
        </w:r>
        <w:smartTag w:uri="urn:schemas-microsoft-com:office:smarttags" w:element="PlaceType">
          <w:r w:rsidR="00151BB4" w:rsidRPr="00151BB4">
            <w:rPr>
              <w:sz w:val="20"/>
              <w:szCs w:val="20"/>
            </w:rPr>
            <w:t>Hospital</w:t>
          </w:r>
        </w:smartTag>
      </w:smartTag>
      <w:r w:rsidR="00151BB4" w:rsidRPr="00151BB4">
        <w:rPr>
          <w:sz w:val="20"/>
          <w:szCs w:val="20"/>
        </w:rPr>
        <w:t xml:space="preserve"> which has 550 beds. </w:t>
      </w:r>
      <w:r w:rsidR="00DF3660">
        <w:rPr>
          <w:sz w:val="20"/>
          <w:szCs w:val="20"/>
        </w:rPr>
        <w:t>It consists</w:t>
      </w:r>
      <w:r w:rsidR="00151BB4">
        <w:rPr>
          <w:sz w:val="20"/>
          <w:szCs w:val="20"/>
        </w:rPr>
        <w:t xml:space="preserve"> of v</w:t>
      </w:r>
      <w:r w:rsidR="00151BB4" w:rsidRPr="00151BB4">
        <w:rPr>
          <w:sz w:val="20"/>
          <w:szCs w:val="20"/>
        </w:rPr>
        <w:t xml:space="preserve">illa </w:t>
      </w:r>
      <w:r w:rsidR="00151BB4">
        <w:rPr>
          <w:sz w:val="20"/>
          <w:szCs w:val="20"/>
        </w:rPr>
        <w:t>“</w:t>
      </w:r>
      <w:r w:rsidR="00151BB4" w:rsidRPr="00151BB4">
        <w:rPr>
          <w:sz w:val="20"/>
          <w:szCs w:val="20"/>
        </w:rPr>
        <w:t>Dalmacija</w:t>
      </w:r>
      <w:r w:rsidR="00151BB4">
        <w:rPr>
          <w:sz w:val="20"/>
          <w:szCs w:val="20"/>
        </w:rPr>
        <w:t>”</w:t>
      </w:r>
      <w:r w:rsidR="00151BB4" w:rsidRPr="00151BB4">
        <w:rPr>
          <w:sz w:val="20"/>
          <w:szCs w:val="20"/>
        </w:rPr>
        <w:t xml:space="preserve"> (155 beds), “Hercegovina” (100 beds), “Novi Stacionar” and hotel “Standard”</w:t>
      </w:r>
      <w:r w:rsidR="00DF3660">
        <w:rPr>
          <w:sz w:val="20"/>
          <w:szCs w:val="20"/>
        </w:rPr>
        <w:t xml:space="preserve"> </w:t>
      </w:r>
      <w:r w:rsidR="00151BB4" w:rsidRPr="00151BB4">
        <w:rPr>
          <w:sz w:val="20"/>
          <w:szCs w:val="20"/>
        </w:rPr>
        <w:t>(66 beds).</w:t>
      </w:r>
    </w:p>
    <w:p w:rsidR="00240467" w:rsidRDefault="00240467" w:rsidP="00240467">
      <w:pPr>
        <w:pStyle w:val="NormalWeb"/>
        <w:spacing w:before="0" w:beforeAutospacing="0" w:after="0" w:afterAutospacing="0"/>
        <w:jc w:val="both"/>
      </w:pPr>
    </w:p>
    <w:p w:rsidR="00DD759D" w:rsidRPr="00534F36" w:rsidRDefault="00DD759D" w:rsidP="00DD759D">
      <w:pPr>
        <w:tabs>
          <w:tab w:val="left" w:pos="180"/>
        </w:tabs>
        <w:jc w:val="center"/>
        <w:rPr>
          <w:rFonts w:ascii="Times New Roman" w:hAnsi="Times New Roman"/>
        </w:rPr>
      </w:pPr>
      <w:r>
        <w:rPr>
          <w:rFonts w:ascii="Times New Roman" w:hAnsi="Times New Roman"/>
          <w:b/>
        </w:rPr>
        <w:t>Table</w:t>
      </w:r>
      <w:r w:rsidRPr="00534F36">
        <w:rPr>
          <w:rFonts w:ascii="Times New Roman" w:hAnsi="Times New Roman"/>
          <w:b/>
        </w:rPr>
        <w:t xml:space="preserve"> 1:</w:t>
      </w:r>
      <w:r>
        <w:rPr>
          <w:rFonts w:ascii="Times New Roman" w:hAnsi="Times New Roman"/>
          <w:b/>
        </w:rPr>
        <w:t xml:space="preserve"> </w:t>
      </w:r>
      <w:r w:rsidR="00E44FE0">
        <w:rPr>
          <w:rFonts w:ascii="Times New Roman" w:hAnsi="Times New Roman"/>
        </w:rPr>
        <w:t>Tourist</w:t>
      </w:r>
      <w:r w:rsidR="00676678">
        <w:rPr>
          <w:rFonts w:ascii="Times New Roman" w:hAnsi="Times New Roman"/>
        </w:rPr>
        <w:t>s in Koviljača</w:t>
      </w:r>
      <w:r w:rsidR="00876905">
        <w:rPr>
          <w:rFonts w:ascii="Times New Roman" w:hAnsi="Times New Roman"/>
        </w:rPr>
        <w:t xml:space="preserve"> </w:t>
      </w:r>
      <w:r w:rsidR="00676678">
        <w:rPr>
          <w:rFonts w:ascii="Times New Roman" w:hAnsi="Times New Roman"/>
        </w:rPr>
        <w:t>Spa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1406"/>
        <w:gridCol w:w="1407"/>
        <w:gridCol w:w="1407"/>
        <w:gridCol w:w="1407"/>
        <w:gridCol w:w="1407"/>
        <w:gridCol w:w="1298"/>
      </w:tblGrid>
      <w:tr w:rsidR="00DD759D" w:rsidRPr="00805124">
        <w:tc>
          <w:tcPr>
            <w:tcW w:w="1298" w:type="dxa"/>
            <w:vMerge w:val="restart"/>
            <w:shd w:val="clear" w:color="auto" w:fill="auto"/>
            <w:vAlign w:val="center"/>
          </w:tcPr>
          <w:p w:rsidR="00DD759D" w:rsidRPr="00805124" w:rsidRDefault="00DD759D" w:rsidP="00E216CF">
            <w:pPr>
              <w:tabs>
                <w:tab w:val="left" w:pos="180"/>
              </w:tabs>
              <w:jc w:val="center"/>
              <w:rPr>
                <w:rFonts w:ascii="Times New Roman" w:hAnsi="Times New Roman"/>
              </w:rPr>
            </w:pPr>
            <w:r>
              <w:rPr>
                <w:rFonts w:ascii="Times New Roman" w:hAnsi="Times New Roman"/>
              </w:rPr>
              <w:t>Year</w:t>
            </w:r>
          </w:p>
        </w:tc>
        <w:tc>
          <w:tcPr>
            <w:tcW w:w="4220" w:type="dxa"/>
            <w:gridSpan w:val="3"/>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Tourist A</w:t>
            </w:r>
            <w:r w:rsidR="00240467">
              <w:rPr>
                <w:rFonts w:ascii="Times New Roman" w:hAnsi="Times New Roman"/>
              </w:rPr>
              <w:t>r</w:t>
            </w:r>
            <w:r>
              <w:rPr>
                <w:rFonts w:ascii="Times New Roman" w:hAnsi="Times New Roman"/>
              </w:rPr>
              <w:t xml:space="preserve">rivals </w:t>
            </w:r>
          </w:p>
        </w:tc>
        <w:tc>
          <w:tcPr>
            <w:tcW w:w="4112" w:type="dxa"/>
            <w:gridSpan w:val="3"/>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Tourist night stays</w:t>
            </w:r>
          </w:p>
        </w:tc>
      </w:tr>
      <w:tr w:rsidR="00DD759D" w:rsidRPr="00805124">
        <w:tc>
          <w:tcPr>
            <w:tcW w:w="1298" w:type="dxa"/>
            <w:vMerge/>
            <w:shd w:val="clear" w:color="auto" w:fill="auto"/>
          </w:tcPr>
          <w:p w:rsidR="00DD759D" w:rsidRPr="00805124" w:rsidRDefault="00DD759D" w:rsidP="00E216CF">
            <w:pPr>
              <w:tabs>
                <w:tab w:val="left" w:pos="180"/>
              </w:tabs>
              <w:jc w:val="both"/>
              <w:rPr>
                <w:rFonts w:ascii="Times New Roman" w:hAnsi="Times New Roman"/>
              </w:rPr>
            </w:pPr>
          </w:p>
        </w:tc>
        <w:tc>
          <w:tcPr>
            <w:tcW w:w="1406" w:type="dxa"/>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Domestic</w:t>
            </w:r>
          </w:p>
        </w:tc>
        <w:tc>
          <w:tcPr>
            <w:tcW w:w="1407" w:type="dxa"/>
            <w:shd w:val="clear" w:color="auto" w:fill="auto"/>
          </w:tcPr>
          <w:p w:rsidR="00DD759D" w:rsidRPr="00805124" w:rsidRDefault="00DD759D" w:rsidP="00DD759D">
            <w:pPr>
              <w:tabs>
                <w:tab w:val="left" w:pos="180"/>
              </w:tabs>
              <w:jc w:val="center"/>
              <w:rPr>
                <w:rFonts w:ascii="Times New Roman" w:hAnsi="Times New Roman"/>
              </w:rPr>
            </w:pPr>
            <w:r>
              <w:rPr>
                <w:rFonts w:ascii="Times New Roman" w:hAnsi="Times New Roman"/>
              </w:rPr>
              <w:t>Foreing</w:t>
            </w:r>
          </w:p>
        </w:tc>
        <w:tc>
          <w:tcPr>
            <w:tcW w:w="1407" w:type="dxa"/>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Domestic</w:t>
            </w:r>
          </w:p>
        </w:tc>
        <w:tc>
          <w:tcPr>
            <w:tcW w:w="1298" w:type="dxa"/>
            <w:shd w:val="clear" w:color="auto" w:fill="auto"/>
          </w:tcPr>
          <w:p w:rsidR="00DD759D" w:rsidRPr="00805124" w:rsidRDefault="00DD759D" w:rsidP="00E216CF">
            <w:pPr>
              <w:tabs>
                <w:tab w:val="left" w:pos="180"/>
              </w:tabs>
              <w:jc w:val="center"/>
              <w:rPr>
                <w:rFonts w:ascii="Times New Roman" w:hAnsi="Times New Roman"/>
              </w:rPr>
            </w:pPr>
            <w:r>
              <w:rPr>
                <w:rFonts w:ascii="Times New Roman" w:hAnsi="Times New Roman"/>
              </w:rPr>
              <w:t>Foreing</w:t>
            </w:r>
          </w:p>
        </w:tc>
      </w:tr>
      <w:tr w:rsidR="00DD759D" w:rsidRPr="00805124">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2005</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20302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17054</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3248</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156497</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135054</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21443</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2006</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19352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16501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2851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210097</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187775</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22322</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2007</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21439</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18743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2696</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177505</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159121</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18384</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2008</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22443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19283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3160</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178459</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158033</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20426</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2009</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18434</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15862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2572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157172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139208</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17964</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2010</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20512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18300</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2212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185881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167208</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18673</w:t>
            </w:r>
          </w:p>
        </w:tc>
      </w:tr>
      <w:tr w:rsidR="00DD759D" w:rsidRPr="00805124">
        <w:trPr>
          <w:trHeight w:val="184"/>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2011</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21693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19143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2550</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217476</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192370</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25106</w:t>
            </w:r>
          </w:p>
        </w:tc>
      </w:tr>
      <w:tr w:rsidR="00DD759D" w:rsidRPr="00805124">
        <w:trPr>
          <w:trHeight w:val="165"/>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2012</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17538</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15388</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2150</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167941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150371</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17570</w:t>
            </w:r>
          </w:p>
        </w:tc>
      </w:tr>
      <w:tr w:rsidR="00DD759D" w:rsidRPr="00805124">
        <w:trPr>
          <w:trHeight w:val="165"/>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2013</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20644</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16591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4053</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171809</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150677</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21132</w:t>
            </w:r>
          </w:p>
        </w:tc>
      </w:tr>
      <w:tr w:rsidR="00DD759D" w:rsidRPr="00805124">
        <w:trPr>
          <w:trHeight w:val="165"/>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2014</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15147</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11581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3566</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131352</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113259</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18093</w:t>
            </w:r>
          </w:p>
        </w:tc>
      </w:tr>
      <w:tr w:rsidR="00DD759D" w:rsidRPr="00805124">
        <w:trPr>
          <w:trHeight w:val="165"/>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2015</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15094</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11387</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3707</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103465</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83476</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19989</w:t>
            </w:r>
          </w:p>
        </w:tc>
      </w:tr>
      <w:tr w:rsidR="00DD759D" w:rsidRPr="00805124">
        <w:trPr>
          <w:trHeight w:val="165"/>
        </w:trPr>
        <w:tc>
          <w:tcPr>
            <w:tcW w:w="1298" w:type="dxa"/>
            <w:shd w:val="clear" w:color="auto" w:fill="auto"/>
          </w:tcPr>
          <w:p w:rsidR="00DD759D" w:rsidRPr="00805124" w:rsidRDefault="00DD759D" w:rsidP="00E216CF">
            <w:pPr>
              <w:tabs>
                <w:tab w:val="left" w:pos="180"/>
              </w:tabs>
              <w:rPr>
                <w:rFonts w:ascii="Times New Roman" w:hAnsi="Times New Roman"/>
              </w:rPr>
            </w:pPr>
            <w:r>
              <w:rPr>
                <w:rFonts w:ascii="Times New Roman" w:hAnsi="Times New Roman"/>
              </w:rPr>
              <w:t>2016</w:t>
            </w:r>
          </w:p>
        </w:tc>
        <w:tc>
          <w:tcPr>
            <w:tcW w:w="1406"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23026</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17191</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5835</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147026</w:t>
            </w:r>
          </w:p>
        </w:tc>
        <w:tc>
          <w:tcPr>
            <w:tcW w:w="1407"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114584</w:t>
            </w:r>
          </w:p>
        </w:tc>
        <w:tc>
          <w:tcPr>
            <w:tcW w:w="1298" w:type="dxa"/>
            <w:shd w:val="clear" w:color="auto" w:fill="auto"/>
            <w:vAlign w:val="center"/>
          </w:tcPr>
          <w:p w:rsidR="00DD759D" w:rsidRPr="000021C8" w:rsidRDefault="00DD759D" w:rsidP="00E216CF">
            <w:pPr>
              <w:rPr>
                <w:rFonts w:ascii="Times New Roman" w:hAnsi="Times New Roman"/>
                <w:color w:val="000000"/>
              </w:rPr>
            </w:pPr>
            <w:r w:rsidRPr="000021C8">
              <w:rPr>
                <w:rFonts w:ascii="Times New Roman" w:hAnsi="Times New Roman"/>
                <w:color w:val="000000"/>
              </w:rPr>
              <w:t>32442</w:t>
            </w:r>
          </w:p>
        </w:tc>
      </w:tr>
    </w:tbl>
    <w:p w:rsidR="00DD759D" w:rsidRDefault="008B304B" w:rsidP="00DD759D">
      <w:pPr>
        <w:tabs>
          <w:tab w:val="left" w:pos="180"/>
        </w:tabs>
        <w:jc w:val="both"/>
        <w:rPr>
          <w:rFonts w:ascii="Times New Roman" w:hAnsi="Times New Roman"/>
        </w:rPr>
      </w:pPr>
      <w:r>
        <w:rPr>
          <w:rFonts w:ascii="Times New Roman" w:hAnsi="Times New Roman"/>
        </w:rPr>
        <w:t>Source</w:t>
      </w:r>
      <w:r w:rsidR="00DD759D">
        <w:rPr>
          <w:rFonts w:ascii="Times New Roman" w:hAnsi="Times New Roman"/>
        </w:rPr>
        <w:t xml:space="preserve">: </w:t>
      </w:r>
      <w:r w:rsidR="00290755">
        <w:rPr>
          <w:rFonts w:ascii="Times New Roman" w:hAnsi="Times New Roman"/>
        </w:rPr>
        <w:t>Statistical Office of the</w:t>
      </w:r>
      <w:r w:rsidR="00E44FE0">
        <w:rPr>
          <w:rFonts w:ascii="Times New Roman" w:hAnsi="Times New Roman"/>
        </w:rPr>
        <w:t xml:space="preserve"> </w:t>
      </w:r>
      <w:r w:rsidR="00290755">
        <w:rPr>
          <w:rFonts w:ascii="Times New Roman" w:hAnsi="Times New Roman"/>
        </w:rPr>
        <w:t>Republic of Serbia</w:t>
      </w:r>
      <w:r w:rsidR="00DD759D">
        <w:rPr>
          <w:rFonts w:ascii="Times New Roman" w:hAnsi="Times New Roman"/>
        </w:rPr>
        <w:t xml:space="preserve">, </w:t>
      </w:r>
      <w:r w:rsidR="00290755">
        <w:rPr>
          <w:rFonts w:ascii="Times New Roman" w:hAnsi="Times New Roman"/>
        </w:rPr>
        <w:t>Belgrade</w:t>
      </w:r>
      <w:r w:rsidR="00DD759D">
        <w:rPr>
          <w:rFonts w:ascii="Times New Roman" w:hAnsi="Times New Roman"/>
        </w:rPr>
        <w:t xml:space="preserve"> (2017)</w:t>
      </w:r>
    </w:p>
    <w:p w:rsidR="00DD759D" w:rsidRDefault="00DD759D" w:rsidP="00DD759D">
      <w:pPr>
        <w:tabs>
          <w:tab w:val="left" w:pos="0"/>
          <w:tab w:val="left" w:pos="360"/>
        </w:tabs>
        <w:rPr>
          <w:rFonts w:ascii="Times New Roman" w:hAnsi="Times New Roman"/>
          <w:b/>
          <w:sz w:val="22"/>
          <w:szCs w:val="22"/>
        </w:rPr>
      </w:pPr>
    </w:p>
    <w:p w:rsidR="00204739" w:rsidRDefault="00137B8F" w:rsidP="00204739">
      <w:pPr>
        <w:pStyle w:val="NormalWeb"/>
        <w:spacing w:before="0" w:beforeAutospacing="0" w:after="0" w:afterAutospacing="0"/>
        <w:jc w:val="both"/>
        <w:rPr>
          <w:sz w:val="20"/>
          <w:szCs w:val="20"/>
        </w:rPr>
      </w:pPr>
      <w:r>
        <w:rPr>
          <w:sz w:val="20"/>
          <w:szCs w:val="20"/>
        </w:rPr>
        <w:t>Statistical</w:t>
      </w:r>
      <w:r w:rsidR="00240467" w:rsidRPr="00240467">
        <w:rPr>
          <w:sz w:val="20"/>
          <w:szCs w:val="20"/>
        </w:rPr>
        <w:t xml:space="preserve"> data indicate that Koviljača Spa is a holder of spa tourism in Donje Podrinje, as it generates the most extensive tourist arrivals. </w:t>
      </w:r>
      <w:r w:rsidR="00561D2F">
        <w:rPr>
          <w:sz w:val="20"/>
          <w:szCs w:val="20"/>
        </w:rPr>
        <w:t>According to tourist arrivals</w:t>
      </w:r>
      <w:r w:rsidR="00240467" w:rsidRPr="00240467">
        <w:rPr>
          <w:sz w:val="20"/>
          <w:szCs w:val="20"/>
        </w:rPr>
        <w:t xml:space="preserve"> </w:t>
      </w:r>
      <w:r w:rsidR="004D1E77">
        <w:rPr>
          <w:sz w:val="20"/>
          <w:szCs w:val="20"/>
        </w:rPr>
        <w:t xml:space="preserve">the </w:t>
      </w:r>
      <w:r w:rsidR="00240467" w:rsidRPr="00561D2F">
        <w:rPr>
          <w:sz w:val="20"/>
          <w:szCs w:val="20"/>
        </w:rPr>
        <w:t>Koviljača</w:t>
      </w:r>
      <w:r w:rsidR="00561D2F">
        <w:rPr>
          <w:sz w:val="20"/>
          <w:szCs w:val="20"/>
        </w:rPr>
        <w:t xml:space="preserve"> Spa </w:t>
      </w:r>
      <w:r w:rsidR="00240467" w:rsidRPr="00240467">
        <w:rPr>
          <w:sz w:val="20"/>
          <w:szCs w:val="20"/>
        </w:rPr>
        <w:t>is among the four leading spas in Serbia.</w:t>
      </w:r>
      <w:r w:rsidR="00561D2F">
        <w:rPr>
          <w:sz w:val="20"/>
          <w:szCs w:val="20"/>
        </w:rPr>
        <w:t xml:space="preserve"> </w:t>
      </w:r>
      <w:r w:rsidR="00561D2F" w:rsidRPr="00561D2F">
        <w:rPr>
          <w:sz w:val="20"/>
          <w:szCs w:val="20"/>
        </w:rPr>
        <w:t>Tourist</w:t>
      </w:r>
      <w:r w:rsidR="00561D2F">
        <w:rPr>
          <w:sz w:val="20"/>
          <w:szCs w:val="20"/>
        </w:rPr>
        <w:t>’s</w:t>
      </w:r>
      <w:r w:rsidR="00561D2F" w:rsidRPr="00561D2F">
        <w:rPr>
          <w:sz w:val="20"/>
          <w:szCs w:val="20"/>
        </w:rPr>
        <w:t xml:space="preserve"> </w:t>
      </w:r>
      <w:r w:rsidR="00561D2F">
        <w:rPr>
          <w:sz w:val="20"/>
          <w:szCs w:val="20"/>
        </w:rPr>
        <w:t xml:space="preserve">arrivals in </w:t>
      </w:r>
      <w:r w:rsidR="00561D2F" w:rsidRPr="00561D2F">
        <w:rPr>
          <w:sz w:val="20"/>
          <w:szCs w:val="20"/>
        </w:rPr>
        <w:t>Koviljača</w:t>
      </w:r>
      <w:r w:rsidR="00561D2F">
        <w:rPr>
          <w:sz w:val="20"/>
          <w:szCs w:val="20"/>
        </w:rPr>
        <w:t xml:space="preserve"> Spa,</w:t>
      </w:r>
      <w:r w:rsidR="00561D2F" w:rsidRPr="00561D2F">
        <w:rPr>
          <w:sz w:val="20"/>
          <w:szCs w:val="20"/>
        </w:rPr>
        <w:t xml:space="preserve"> is an indicator of its competitiveness in the tourism market [10].</w:t>
      </w:r>
      <w:r>
        <w:rPr>
          <w:sz w:val="20"/>
          <w:szCs w:val="20"/>
        </w:rPr>
        <w:t xml:space="preserve"> </w:t>
      </w:r>
      <w:r w:rsidRPr="00137B8F">
        <w:rPr>
          <w:sz w:val="20"/>
          <w:szCs w:val="20"/>
        </w:rPr>
        <w:t xml:space="preserve">Geographical position </w:t>
      </w:r>
      <w:r>
        <w:rPr>
          <w:sz w:val="20"/>
          <w:szCs w:val="20"/>
        </w:rPr>
        <w:t xml:space="preserve">of spa </w:t>
      </w:r>
      <w:r w:rsidRPr="00137B8F">
        <w:rPr>
          <w:sz w:val="20"/>
          <w:szCs w:val="20"/>
        </w:rPr>
        <w:t>has caused the development of transit and excursion tourism.</w:t>
      </w:r>
      <w:r w:rsidR="00204739">
        <w:rPr>
          <w:sz w:val="20"/>
          <w:szCs w:val="20"/>
        </w:rPr>
        <w:t xml:space="preserve"> </w:t>
      </w:r>
      <w:r w:rsidR="00204739" w:rsidRPr="00204739">
        <w:rPr>
          <w:sz w:val="20"/>
          <w:szCs w:val="20"/>
        </w:rPr>
        <w:t>These types of tourism are particularly pronounced during the summer months. Besides health tourism</w:t>
      </w:r>
      <w:r w:rsidR="00281EAB" w:rsidRPr="00204739">
        <w:rPr>
          <w:sz w:val="20"/>
          <w:szCs w:val="20"/>
        </w:rPr>
        <w:t xml:space="preserve"> congress tourism</w:t>
      </w:r>
      <w:r w:rsidR="00204739" w:rsidRPr="00204739">
        <w:rPr>
          <w:sz w:val="20"/>
          <w:szCs w:val="20"/>
        </w:rPr>
        <w:t xml:space="preserve"> is </w:t>
      </w:r>
      <w:r w:rsidR="00281EAB">
        <w:rPr>
          <w:sz w:val="20"/>
          <w:szCs w:val="20"/>
        </w:rPr>
        <w:t xml:space="preserve">also </w:t>
      </w:r>
      <w:r w:rsidR="00204739" w:rsidRPr="00204739">
        <w:rPr>
          <w:sz w:val="20"/>
          <w:szCs w:val="20"/>
        </w:rPr>
        <w:t xml:space="preserve">developed. </w:t>
      </w:r>
      <w:r w:rsidR="00204739">
        <w:rPr>
          <w:sz w:val="20"/>
          <w:szCs w:val="20"/>
        </w:rPr>
        <w:t xml:space="preserve">All this affects </w:t>
      </w:r>
      <w:r w:rsidR="00204739" w:rsidRPr="00204739">
        <w:rPr>
          <w:sz w:val="20"/>
          <w:szCs w:val="20"/>
        </w:rPr>
        <w:t xml:space="preserve">Koviljača </w:t>
      </w:r>
      <w:r w:rsidR="00204739">
        <w:rPr>
          <w:sz w:val="20"/>
          <w:szCs w:val="20"/>
        </w:rPr>
        <w:t xml:space="preserve">Spa </w:t>
      </w:r>
      <w:r w:rsidR="00204739" w:rsidRPr="00204739">
        <w:rPr>
          <w:sz w:val="20"/>
          <w:szCs w:val="20"/>
        </w:rPr>
        <w:t xml:space="preserve">has foreign guests (mostly from the </w:t>
      </w:r>
      <w:smartTag w:uri="urn:schemas-microsoft-com:office:smarttags" w:element="PlaceType">
        <w:r w:rsidR="00204739" w:rsidRPr="00204739">
          <w:rPr>
            <w:sz w:val="20"/>
            <w:szCs w:val="20"/>
          </w:rPr>
          <w:t>Republic</w:t>
        </w:r>
      </w:smartTag>
      <w:r w:rsidR="00204739" w:rsidRPr="00204739">
        <w:rPr>
          <w:sz w:val="20"/>
          <w:szCs w:val="20"/>
        </w:rPr>
        <w:t xml:space="preserve"> of </w:t>
      </w:r>
      <w:smartTag w:uri="urn:schemas-microsoft-com:office:smarttags" w:element="PlaceName">
        <w:r w:rsidR="00204739" w:rsidRPr="00204739">
          <w:rPr>
            <w:sz w:val="20"/>
            <w:szCs w:val="20"/>
          </w:rPr>
          <w:t>Serbian</w:t>
        </w:r>
      </w:smartTag>
      <w:r w:rsidR="00204739" w:rsidRPr="00204739">
        <w:rPr>
          <w:sz w:val="20"/>
          <w:szCs w:val="20"/>
        </w:rPr>
        <w:t xml:space="preserve"> and </w:t>
      </w:r>
      <w:smartTag w:uri="urn:schemas-microsoft-com:office:smarttags" w:element="country-region">
        <w:smartTag w:uri="urn:schemas-microsoft-com:office:smarttags" w:element="place">
          <w:r w:rsidR="00204739" w:rsidRPr="00204739">
            <w:rPr>
              <w:sz w:val="20"/>
              <w:szCs w:val="20"/>
            </w:rPr>
            <w:t>Bosnia and Herzegovina</w:t>
          </w:r>
        </w:smartTag>
      </w:smartTag>
      <w:r w:rsidR="00204739" w:rsidRPr="00204739">
        <w:rPr>
          <w:sz w:val="20"/>
          <w:szCs w:val="20"/>
        </w:rPr>
        <w:t>), but also from other European countries [11]. They come not only to Congress but also to the numerous events held throughout the year.</w:t>
      </w:r>
    </w:p>
    <w:p w:rsidR="00204739" w:rsidRPr="00204739" w:rsidRDefault="00204739" w:rsidP="00204739">
      <w:pPr>
        <w:pStyle w:val="NormalWeb"/>
        <w:spacing w:before="0" w:beforeAutospacing="0" w:after="0" w:afterAutospacing="0"/>
        <w:jc w:val="both"/>
        <w:rPr>
          <w:sz w:val="20"/>
          <w:szCs w:val="20"/>
        </w:rPr>
      </w:pPr>
      <w:r w:rsidRPr="00204739">
        <w:rPr>
          <w:sz w:val="20"/>
          <w:szCs w:val="20"/>
        </w:rPr>
        <w:t xml:space="preserve">The global economic crisis has affected </w:t>
      </w:r>
      <w:r>
        <w:rPr>
          <w:sz w:val="20"/>
          <w:szCs w:val="20"/>
        </w:rPr>
        <w:t xml:space="preserve">on </w:t>
      </w:r>
      <w:r w:rsidRPr="00204739">
        <w:rPr>
          <w:sz w:val="20"/>
          <w:szCs w:val="20"/>
        </w:rPr>
        <w:t xml:space="preserve">the reduction in the number of tourists in 2006. However, the low living standard of the population in </w:t>
      </w:r>
      <w:smartTag w:uri="urn:schemas-microsoft-com:office:smarttags" w:element="country-region">
        <w:smartTag w:uri="urn:schemas-microsoft-com:office:smarttags" w:element="place">
          <w:r w:rsidRPr="00204739">
            <w:rPr>
              <w:sz w:val="20"/>
              <w:szCs w:val="20"/>
            </w:rPr>
            <w:t>Serbia</w:t>
          </w:r>
        </w:smartTag>
      </w:smartTag>
      <w:r w:rsidRPr="00204739">
        <w:rPr>
          <w:sz w:val="20"/>
          <w:szCs w:val="20"/>
        </w:rPr>
        <w:t xml:space="preserve"> and</w:t>
      </w:r>
      <w:r>
        <w:rPr>
          <w:sz w:val="20"/>
          <w:szCs w:val="20"/>
        </w:rPr>
        <w:t xml:space="preserve"> in</w:t>
      </w:r>
      <w:r w:rsidR="00E216CF">
        <w:rPr>
          <w:sz w:val="20"/>
          <w:szCs w:val="20"/>
        </w:rPr>
        <w:t xml:space="preserve"> the region</w:t>
      </w:r>
      <w:r w:rsidRPr="00204739">
        <w:rPr>
          <w:sz w:val="20"/>
          <w:szCs w:val="20"/>
        </w:rPr>
        <w:t xml:space="preserve"> indicates a sig</w:t>
      </w:r>
      <w:r>
        <w:rPr>
          <w:sz w:val="20"/>
          <w:szCs w:val="20"/>
        </w:rPr>
        <w:t>nificant reduction</w:t>
      </w:r>
      <w:r w:rsidR="00E216CF">
        <w:rPr>
          <w:sz w:val="20"/>
          <w:szCs w:val="20"/>
        </w:rPr>
        <w:t xml:space="preserve"> of</w:t>
      </w:r>
      <w:r w:rsidRPr="00204739">
        <w:rPr>
          <w:sz w:val="20"/>
          <w:szCs w:val="20"/>
        </w:rPr>
        <w:t xml:space="preserve"> tourist</w:t>
      </w:r>
      <w:r>
        <w:rPr>
          <w:sz w:val="20"/>
          <w:szCs w:val="20"/>
        </w:rPr>
        <w:t xml:space="preserve"> arrivals</w:t>
      </w:r>
      <w:r w:rsidR="00281EAB">
        <w:rPr>
          <w:sz w:val="20"/>
          <w:szCs w:val="20"/>
        </w:rPr>
        <w:t xml:space="preserve"> in 2014 and 2015. The turnover</w:t>
      </w:r>
      <w:r w:rsidR="00E216CF">
        <w:rPr>
          <w:sz w:val="20"/>
          <w:szCs w:val="20"/>
        </w:rPr>
        <w:t xml:space="preserve"> of domestic tourist arrivals in 2014/2015</w:t>
      </w:r>
      <w:r w:rsidRPr="00204739">
        <w:rPr>
          <w:sz w:val="20"/>
          <w:szCs w:val="20"/>
        </w:rPr>
        <w:t xml:space="preserve"> is low</w:t>
      </w:r>
      <w:r w:rsidR="00281EAB">
        <w:rPr>
          <w:sz w:val="20"/>
          <w:szCs w:val="20"/>
        </w:rPr>
        <w:t>er compared to 2006, while the turnover</w:t>
      </w:r>
      <w:r w:rsidRPr="00204739">
        <w:rPr>
          <w:sz w:val="20"/>
          <w:szCs w:val="20"/>
        </w:rPr>
        <w:t xml:space="preserve"> of foreign tourists increased compared to 2006. This is an indication that foreign guests </w:t>
      </w:r>
      <w:r w:rsidR="00685D1C">
        <w:rPr>
          <w:sz w:val="20"/>
          <w:szCs w:val="20"/>
        </w:rPr>
        <w:t xml:space="preserve">are </w:t>
      </w:r>
      <w:r w:rsidRPr="00204739">
        <w:rPr>
          <w:sz w:val="20"/>
          <w:szCs w:val="20"/>
        </w:rPr>
        <w:t>mainly transit travelers and vacationers visiting the numerous events that are held in the spa during the summer.</w:t>
      </w:r>
    </w:p>
    <w:p w:rsidR="00240467" w:rsidRPr="00DD759D" w:rsidRDefault="00240467" w:rsidP="00DD759D">
      <w:pPr>
        <w:tabs>
          <w:tab w:val="left" w:pos="0"/>
          <w:tab w:val="left" w:pos="360"/>
        </w:tabs>
        <w:rPr>
          <w:rFonts w:ascii="Times New Roman" w:hAnsi="Times New Roman"/>
          <w:b/>
          <w:sz w:val="22"/>
          <w:szCs w:val="22"/>
        </w:rPr>
      </w:pPr>
    </w:p>
    <w:p w:rsidR="00DD759D" w:rsidRDefault="00204739" w:rsidP="00DD759D">
      <w:pPr>
        <w:numPr>
          <w:ilvl w:val="1"/>
          <w:numId w:val="2"/>
        </w:numPr>
        <w:tabs>
          <w:tab w:val="left" w:pos="0"/>
          <w:tab w:val="left" w:pos="360"/>
        </w:tabs>
        <w:ind w:left="270" w:hanging="270"/>
        <w:rPr>
          <w:rFonts w:ascii="Times New Roman" w:hAnsi="Times New Roman"/>
          <w:b/>
          <w:sz w:val="22"/>
          <w:szCs w:val="22"/>
        </w:rPr>
      </w:pPr>
      <w:r>
        <w:rPr>
          <w:rFonts w:ascii="Times New Roman" w:hAnsi="Times New Roman"/>
          <w:b/>
          <w:sz w:val="22"/>
          <w:szCs w:val="22"/>
        </w:rPr>
        <w:t xml:space="preserve"> Badanja Spa</w:t>
      </w:r>
    </w:p>
    <w:p w:rsidR="00810D88" w:rsidRDefault="00810D88" w:rsidP="00810D88">
      <w:pPr>
        <w:tabs>
          <w:tab w:val="left" w:pos="0"/>
          <w:tab w:val="left" w:pos="360"/>
        </w:tabs>
        <w:rPr>
          <w:rFonts w:ascii="Times New Roman" w:hAnsi="Times New Roman"/>
          <w:b/>
          <w:sz w:val="22"/>
          <w:szCs w:val="22"/>
        </w:rPr>
      </w:pPr>
    </w:p>
    <w:p w:rsidR="00810D88" w:rsidRDefault="00810D88" w:rsidP="00810D88">
      <w:pPr>
        <w:tabs>
          <w:tab w:val="left" w:pos="0"/>
          <w:tab w:val="left" w:pos="360"/>
        </w:tabs>
        <w:jc w:val="both"/>
      </w:pPr>
      <w:r>
        <w:t>Badanja Spa</w:t>
      </w:r>
      <w:r w:rsidR="00685D1C">
        <w:t xml:space="preserve"> is situated </w:t>
      </w:r>
      <w:r w:rsidR="00685D1C" w:rsidRPr="00810D88">
        <w:t>in the village of Donja Badanja</w:t>
      </w:r>
      <w:r w:rsidR="00685D1C">
        <w:t xml:space="preserve"> on the te</w:t>
      </w:r>
      <w:r w:rsidR="00685D1C" w:rsidRPr="00810D88">
        <w:t xml:space="preserve">ritory of </w:t>
      </w:r>
      <w:r w:rsidR="00685D1C">
        <w:t>the City of Loznica</w:t>
      </w:r>
      <w:r>
        <w:t>. It i</w:t>
      </w:r>
      <w:r w:rsidRPr="00810D88">
        <w:t>s located at t</w:t>
      </w:r>
      <w:r>
        <w:t>he south-western slopes of Iverak Mountain, on</w:t>
      </w:r>
      <w:r w:rsidR="00685D1C">
        <w:t xml:space="preserve"> its</w:t>
      </w:r>
      <w:r w:rsidRPr="00810D88">
        <w:t xml:space="preserve"> contact with the Cer </w:t>
      </w:r>
      <w:r w:rsidR="004D1E77">
        <w:t>M</w:t>
      </w:r>
      <w:r w:rsidR="004D1E77" w:rsidRPr="00810D88">
        <w:t xml:space="preserve">ountain </w:t>
      </w:r>
      <w:r w:rsidRPr="00810D88">
        <w:t>[6]. Spa is located in the bottom of the river Cernic</w:t>
      </w:r>
      <w:r>
        <w:t xml:space="preserve">a </w:t>
      </w:r>
      <w:r w:rsidRPr="00810D88">
        <w:t xml:space="preserve">valley, </w:t>
      </w:r>
      <w:r>
        <w:t xml:space="preserve">the </w:t>
      </w:r>
      <w:r w:rsidRPr="00810D88">
        <w:t>right trib</w:t>
      </w:r>
      <w:r>
        <w:t>utary of river Jadar [12]. S</w:t>
      </w:r>
      <w:r w:rsidRPr="00810D88">
        <w:t xml:space="preserve">pa </w:t>
      </w:r>
      <w:r>
        <w:t xml:space="preserve">center </w:t>
      </w:r>
      <w:r w:rsidRPr="00810D88">
        <w:t>is 153 m above sea level</w:t>
      </w:r>
      <w:r>
        <w:t>. F</w:t>
      </w:r>
      <w:r w:rsidR="00685D1C">
        <w:t>rom Loznica spa is away</w:t>
      </w:r>
      <w:r w:rsidRPr="00810D88">
        <w:t xml:space="preserve"> 18 km and 31 km from </w:t>
      </w:r>
      <w:r w:rsidR="00216F36">
        <w:t>Š</w:t>
      </w:r>
      <w:r w:rsidRPr="00810D88">
        <w:t>abac. Banja has a moderate continental climate. The mean annual air temperature is 10,8</w:t>
      </w:r>
      <w:r w:rsidRPr="00810D88">
        <w:rPr>
          <w:vertAlign w:val="superscript"/>
        </w:rPr>
        <w:t>o</w:t>
      </w:r>
      <w:r w:rsidRPr="00810D88">
        <w:t xml:space="preserve">C. </w:t>
      </w:r>
      <w:r>
        <w:t xml:space="preserve">Recreation and bathing period, when the average daily air temperature </w:t>
      </w:r>
      <w:r w:rsidR="009066B7">
        <w:t xml:space="preserve">are </w:t>
      </w:r>
      <w:r>
        <w:t>not below 20°</w:t>
      </w:r>
      <w:r w:rsidR="009066B7">
        <w:t>C last</w:t>
      </w:r>
      <w:r>
        <w:t xml:space="preserve"> for 53 days a year [7].</w:t>
      </w:r>
    </w:p>
    <w:p w:rsidR="00E10F14" w:rsidRPr="00E10F14" w:rsidRDefault="00685D1C" w:rsidP="00E10F14">
      <w:pPr>
        <w:pStyle w:val="NormalWeb"/>
        <w:spacing w:before="0" w:beforeAutospacing="0" w:after="0" w:afterAutospacing="0"/>
        <w:jc w:val="both"/>
        <w:rPr>
          <w:sz w:val="20"/>
          <w:szCs w:val="20"/>
        </w:rPr>
      </w:pPr>
      <w:r>
        <w:rPr>
          <w:sz w:val="20"/>
          <w:szCs w:val="20"/>
        </w:rPr>
        <w:t>T</w:t>
      </w:r>
      <w:r w:rsidR="00E10F14" w:rsidRPr="00E10F14">
        <w:rPr>
          <w:sz w:val="20"/>
          <w:szCs w:val="20"/>
        </w:rPr>
        <w:t xml:space="preserve">he healing effects of the spa waters </w:t>
      </w:r>
      <w:r w:rsidR="00E16F9F">
        <w:rPr>
          <w:sz w:val="20"/>
          <w:szCs w:val="20"/>
        </w:rPr>
        <w:t xml:space="preserve">was </w:t>
      </w:r>
      <w:r w:rsidR="00E10F14" w:rsidRPr="00E10F14">
        <w:rPr>
          <w:sz w:val="20"/>
          <w:szCs w:val="20"/>
        </w:rPr>
        <w:t xml:space="preserve">known since the second half of the 19th century. Thermal mineral springs </w:t>
      </w:r>
      <w:r w:rsidR="00E16F9F">
        <w:rPr>
          <w:sz w:val="20"/>
          <w:szCs w:val="20"/>
        </w:rPr>
        <w:t>“</w:t>
      </w:r>
      <w:r w:rsidR="00E10F14" w:rsidRPr="00E10F14">
        <w:rPr>
          <w:sz w:val="20"/>
          <w:szCs w:val="20"/>
        </w:rPr>
        <w:t>Slana bara</w:t>
      </w:r>
      <w:r w:rsidR="00E16F9F">
        <w:rPr>
          <w:sz w:val="20"/>
          <w:szCs w:val="20"/>
        </w:rPr>
        <w:t>”</w:t>
      </w:r>
      <w:r w:rsidR="00E10F14" w:rsidRPr="00E10F14">
        <w:rPr>
          <w:sz w:val="20"/>
          <w:szCs w:val="20"/>
        </w:rPr>
        <w:t xml:space="preserve"> and</w:t>
      </w:r>
      <w:r w:rsidR="00E16F9F">
        <w:rPr>
          <w:sz w:val="20"/>
          <w:szCs w:val="20"/>
        </w:rPr>
        <w:t xml:space="preserve"> “Red water”</w:t>
      </w:r>
      <w:r>
        <w:rPr>
          <w:sz w:val="20"/>
          <w:szCs w:val="20"/>
        </w:rPr>
        <w:t xml:space="preserve"> were</w:t>
      </w:r>
      <w:r w:rsidR="00E10F14" w:rsidRPr="00E10F14">
        <w:rPr>
          <w:sz w:val="20"/>
          <w:szCs w:val="20"/>
        </w:rPr>
        <w:t xml:space="preserve"> first analyzed in 1889. Detailed hydrogeological investigations were conducted </w:t>
      </w:r>
      <w:r>
        <w:rPr>
          <w:sz w:val="20"/>
          <w:szCs w:val="20"/>
        </w:rPr>
        <w:t xml:space="preserve">in the </w:t>
      </w:r>
      <w:r w:rsidR="00E10F14" w:rsidRPr="00E10F14">
        <w:rPr>
          <w:sz w:val="20"/>
          <w:szCs w:val="20"/>
        </w:rPr>
        <w:t>80s of the 20th century [8]. For many years Badanja was disorganized. The first bath was built before Wor</w:t>
      </w:r>
      <w:r w:rsidR="00E16F9F">
        <w:rPr>
          <w:sz w:val="20"/>
          <w:szCs w:val="20"/>
        </w:rPr>
        <w:t xml:space="preserve">ld War II, in 1938. The family </w:t>
      </w:r>
      <w:r w:rsidR="00E10F14" w:rsidRPr="00E10F14">
        <w:rPr>
          <w:sz w:val="20"/>
          <w:szCs w:val="20"/>
        </w:rPr>
        <w:t>Lazarevi</w:t>
      </w:r>
      <w:r w:rsidR="00CE467D">
        <w:rPr>
          <w:sz w:val="20"/>
          <w:szCs w:val="20"/>
        </w:rPr>
        <w:t>ć</w:t>
      </w:r>
      <w:r w:rsidR="00E16F9F" w:rsidRPr="00E16F9F">
        <w:rPr>
          <w:sz w:val="20"/>
          <w:szCs w:val="20"/>
        </w:rPr>
        <w:t xml:space="preserve"> </w:t>
      </w:r>
      <w:r w:rsidR="00E16F9F" w:rsidRPr="00E10F14">
        <w:rPr>
          <w:sz w:val="20"/>
          <w:szCs w:val="20"/>
        </w:rPr>
        <w:t>owned</w:t>
      </w:r>
      <w:r>
        <w:rPr>
          <w:sz w:val="20"/>
          <w:szCs w:val="20"/>
        </w:rPr>
        <w:t xml:space="preserve"> this bat</w:t>
      </w:r>
      <w:r w:rsidR="00E16F9F">
        <w:rPr>
          <w:sz w:val="20"/>
          <w:szCs w:val="20"/>
        </w:rPr>
        <w:t>h</w:t>
      </w:r>
      <w:r w:rsidR="00E10F14" w:rsidRPr="00E10F14">
        <w:rPr>
          <w:sz w:val="20"/>
          <w:szCs w:val="20"/>
        </w:rPr>
        <w:t xml:space="preserve"> until 1947 when </w:t>
      </w:r>
      <w:r w:rsidR="00E16F9F">
        <w:rPr>
          <w:sz w:val="20"/>
          <w:szCs w:val="20"/>
        </w:rPr>
        <w:t>it was</w:t>
      </w:r>
      <w:r w:rsidR="00E10F14" w:rsidRPr="00E10F14">
        <w:rPr>
          <w:sz w:val="20"/>
          <w:szCs w:val="20"/>
        </w:rPr>
        <w:t xml:space="preserve"> transferred to social ownership. After the Second World War </w:t>
      </w:r>
      <w:r w:rsidR="00E16F9F">
        <w:rPr>
          <w:sz w:val="20"/>
          <w:szCs w:val="20"/>
        </w:rPr>
        <w:t>the mineral springs were capped</w:t>
      </w:r>
      <w:r w:rsidR="00E10F14" w:rsidRPr="00E10F14">
        <w:rPr>
          <w:sz w:val="20"/>
          <w:szCs w:val="20"/>
        </w:rPr>
        <w:t xml:space="preserve">. </w:t>
      </w:r>
      <w:r>
        <w:rPr>
          <w:sz w:val="20"/>
          <w:szCs w:val="20"/>
        </w:rPr>
        <w:t>T</w:t>
      </w:r>
      <w:r w:rsidR="00E16F9F" w:rsidRPr="00E10F14">
        <w:rPr>
          <w:sz w:val="20"/>
          <w:szCs w:val="20"/>
        </w:rPr>
        <w:t>wo</w:t>
      </w:r>
      <w:r w:rsidR="00E16F9F">
        <w:rPr>
          <w:sz w:val="20"/>
          <w:szCs w:val="20"/>
        </w:rPr>
        <w:t xml:space="preserve"> of </w:t>
      </w:r>
      <w:r w:rsidR="00E16F9F" w:rsidRPr="00E10F14">
        <w:rPr>
          <w:sz w:val="20"/>
          <w:szCs w:val="20"/>
        </w:rPr>
        <w:t>thermal mineral</w:t>
      </w:r>
      <w:r w:rsidR="00E16F9F">
        <w:rPr>
          <w:sz w:val="20"/>
          <w:szCs w:val="20"/>
        </w:rPr>
        <w:t xml:space="preserve"> springs were used</w:t>
      </w:r>
      <w:r>
        <w:rPr>
          <w:sz w:val="20"/>
          <w:szCs w:val="20"/>
        </w:rPr>
        <w:t xml:space="preserve"> a</w:t>
      </w:r>
      <w:r w:rsidRPr="00E10F14">
        <w:rPr>
          <w:sz w:val="20"/>
          <w:szCs w:val="20"/>
        </w:rPr>
        <w:t>s mineral springs</w:t>
      </w:r>
      <w:r w:rsidR="00E16F9F">
        <w:rPr>
          <w:sz w:val="20"/>
          <w:szCs w:val="20"/>
        </w:rPr>
        <w:t xml:space="preserve">: “Glavni izvor” and “Gvozdene vode”. </w:t>
      </w:r>
      <w:r w:rsidR="00E10F14" w:rsidRPr="00E10F14">
        <w:rPr>
          <w:sz w:val="20"/>
          <w:szCs w:val="20"/>
        </w:rPr>
        <w:t>Due to the high content of the</w:t>
      </w:r>
      <w:r w:rsidR="00E16F9F">
        <w:rPr>
          <w:sz w:val="20"/>
          <w:szCs w:val="20"/>
        </w:rPr>
        <w:t xml:space="preserve"> </w:t>
      </w:r>
      <w:r w:rsidR="00E16F9F" w:rsidRPr="00E10F14">
        <w:rPr>
          <w:sz w:val="20"/>
          <w:szCs w:val="20"/>
        </w:rPr>
        <w:t>gas</w:t>
      </w:r>
      <w:r w:rsidR="00E10F14" w:rsidRPr="00E10F14">
        <w:rPr>
          <w:sz w:val="20"/>
          <w:szCs w:val="20"/>
        </w:rPr>
        <w:t xml:space="preserve"> radon water</w:t>
      </w:r>
      <w:r w:rsidR="00E16F9F">
        <w:rPr>
          <w:sz w:val="20"/>
          <w:szCs w:val="20"/>
        </w:rPr>
        <w:t>s of Badanja Spa</w:t>
      </w:r>
      <w:r w:rsidR="00E10F14" w:rsidRPr="00E10F14">
        <w:rPr>
          <w:sz w:val="20"/>
          <w:szCs w:val="20"/>
        </w:rPr>
        <w:t xml:space="preserve"> are classified into the radioactive radon water. </w:t>
      </w:r>
    </w:p>
    <w:p w:rsidR="00E10F14" w:rsidRDefault="000230E5" w:rsidP="00810D88">
      <w:pPr>
        <w:tabs>
          <w:tab w:val="left" w:pos="0"/>
          <w:tab w:val="left" w:pos="360"/>
        </w:tabs>
        <w:jc w:val="both"/>
      </w:pPr>
      <w:r w:rsidRPr="000230E5">
        <w:t xml:space="preserve">The structure of accommodation facilities for the </w:t>
      </w:r>
      <w:r>
        <w:t>guests reception</w:t>
      </w:r>
      <w:r w:rsidR="00F123D7">
        <w:t xml:space="preserve"> is not satisfying</w:t>
      </w:r>
      <w:r w:rsidRPr="000230E5">
        <w:t xml:space="preserve"> because </w:t>
      </w:r>
      <w:r>
        <w:t xml:space="preserve">the </w:t>
      </w:r>
      <w:r w:rsidRPr="000230E5">
        <w:t>accommodation in private facilities</w:t>
      </w:r>
      <w:r>
        <w:t xml:space="preserve"> is prevailing</w:t>
      </w:r>
      <w:r w:rsidRPr="000230E5">
        <w:t xml:space="preserve">. </w:t>
      </w:r>
      <w:r w:rsidR="00343A12">
        <w:t>G</w:t>
      </w:r>
      <w:r w:rsidR="00343A12" w:rsidRPr="000230E5">
        <w:t xml:space="preserve">uests </w:t>
      </w:r>
      <w:r w:rsidR="00343A12">
        <w:t>accommodation</w:t>
      </w:r>
      <w:r w:rsidRPr="000230E5">
        <w:t xml:space="preserve"> is possible at the motel </w:t>
      </w:r>
      <w:r w:rsidR="00343A12">
        <w:rPr>
          <w:rFonts w:ascii="Times New Roman" w:hAnsi="Times New Roman"/>
        </w:rPr>
        <w:t>“</w:t>
      </w:r>
      <w:r w:rsidRPr="000230E5">
        <w:t>Cernica</w:t>
      </w:r>
      <w:r w:rsidR="00343A12">
        <w:rPr>
          <w:rFonts w:ascii="Times New Roman" w:hAnsi="Times New Roman"/>
        </w:rPr>
        <w:t>”</w:t>
      </w:r>
      <w:r w:rsidRPr="000230E5">
        <w:t xml:space="preserve">, bungalows and </w:t>
      </w:r>
      <w:r w:rsidR="00343A12">
        <w:t xml:space="preserve">in </w:t>
      </w:r>
      <w:r w:rsidRPr="000230E5">
        <w:t xml:space="preserve">private accommodation. Since 2003, motel </w:t>
      </w:r>
      <w:r w:rsidR="00343A12">
        <w:rPr>
          <w:rFonts w:ascii="Times New Roman" w:hAnsi="Times New Roman"/>
        </w:rPr>
        <w:t>“</w:t>
      </w:r>
      <w:r w:rsidRPr="000230E5">
        <w:t>Cernica</w:t>
      </w:r>
      <w:r w:rsidR="00343A12">
        <w:rPr>
          <w:rFonts w:ascii="Times New Roman" w:hAnsi="Times New Roman"/>
        </w:rPr>
        <w:t>”</w:t>
      </w:r>
      <w:r w:rsidRPr="000230E5">
        <w:t xml:space="preserve"> was transformed into a spa resort - Special Rehabilitation Hospital </w:t>
      </w:r>
      <w:r w:rsidR="00343A12">
        <w:rPr>
          <w:rFonts w:ascii="Times New Roman" w:hAnsi="Times New Roman"/>
        </w:rPr>
        <w:t>“</w:t>
      </w:r>
      <w:r w:rsidRPr="000230E5">
        <w:t xml:space="preserve">Boro </w:t>
      </w:r>
      <w:r w:rsidR="005A69C9">
        <w:t>Š</w:t>
      </w:r>
      <w:r w:rsidRPr="000230E5">
        <w:t>kori</w:t>
      </w:r>
      <w:r w:rsidR="005A69C9">
        <w:t>ć</w:t>
      </w:r>
      <w:r w:rsidR="00343A12">
        <w:rPr>
          <w:rFonts w:ascii="Times New Roman" w:hAnsi="Times New Roman"/>
        </w:rPr>
        <w:t>”</w:t>
      </w:r>
      <w:r w:rsidRPr="000230E5">
        <w:t xml:space="preserve">. </w:t>
      </w:r>
      <w:r w:rsidR="00343A12">
        <w:t>The hospital</w:t>
      </w:r>
      <w:r w:rsidRPr="000230E5">
        <w:t xml:space="preserve"> has a total of 33 beds </w:t>
      </w:r>
      <w:r w:rsidR="00343A12">
        <w:t>in rooms c</w:t>
      </w:r>
      <w:r w:rsidRPr="000230E5">
        <w:t>ategory B. Bungalows hav</w:t>
      </w:r>
      <w:r w:rsidR="00F123D7">
        <w:t>e 10 rooms and 40 beds, while</w:t>
      </w:r>
      <w:r w:rsidRPr="000230E5">
        <w:t xml:space="preserve"> private accommodation has about 460 beds.</w:t>
      </w:r>
    </w:p>
    <w:p w:rsidR="000230E5" w:rsidRDefault="000230E5" w:rsidP="00C2071D">
      <w:pPr>
        <w:tabs>
          <w:tab w:val="left" w:pos="180"/>
        </w:tabs>
        <w:jc w:val="center"/>
        <w:rPr>
          <w:rFonts w:ascii="Times New Roman" w:hAnsi="Times New Roman"/>
          <w:b/>
        </w:rPr>
      </w:pPr>
    </w:p>
    <w:p w:rsidR="00C2071D" w:rsidRPr="00534F36" w:rsidRDefault="00C2071D" w:rsidP="00C2071D">
      <w:pPr>
        <w:tabs>
          <w:tab w:val="left" w:pos="180"/>
        </w:tabs>
        <w:jc w:val="center"/>
        <w:rPr>
          <w:rFonts w:ascii="Times New Roman" w:hAnsi="Times New Roman"/>
        </w:rPr>
      </w:pPr>
      <w:r>
        <w:rPr>
          <w:rFonts w:ascii="Times New Roman" w:hAnsi="Times New Roman"/>
          <w:b/>
        </w:rPr>
        <w:t>Table</w:t>
      </w:r>
      <w:r w:rsidRPr="00534F36">
        <w:rPr>
          <w:rFonts w:ascii="Times New Roman" w:hAnsi="Times New Roman"/>
          <w:b/>
        </w:rPr>
        <w:t xml:space="preserve"> </w:t>
      </w:r>
      <w:r>
        <w:rPr>
          <w:rFonts w:ascii="Times New Roman" w:hAnsi="Times New Roman"/>
          <w:b/>
        </w:rPr>
        <w:t>2</w:t>
      </w:r>
      <w:r w:rsidRPr="00534F36">
        <w:rPr>
          <w:rFonts w:ascii="Times New Roman" w:hAnsi="Times New Roman"/>
          <w:b/>
        </w:rPr>
        <w:t>:</w:t>
      </w:r>
      <w:r>
        <w:rPr>
          <w:rFonts w:ascii="Times New Roman" w:hAnsi="Times New Roman"/>
          <w:b/>
        </w:rPr>
        <w:t xml:space="preserve"> </w:t>
      </w:r>
      <w:r>
        <w:rPr>
          <w:rFonts w:ascii="Times New Roman" w:hAnsi="Times New Roman"/>
        </w:rPr>
        <w:t>Tourists in Badanja Spa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1406"/>
        <w:gridCol w:w="1407"/>
        <w:gridCol w:w="1407"/>
        <w:gridCol w:w="1407"/>
        <w:gridCol w:w="1407"/>
        <w:gridCol w:w="1298"/>
      </w:tblGrid>
      <w:tr w:rsidR="009C5454" w:rsidRPr="00805124">
        <w:tc>
          <w:tcPr>
            <w:tcW w:w="1298" w:type="dxa"/>
            <w:vMerge w:val="restart"/>
            <w:shd w:val="clear" w:color="auto" w:fill="auto"/>
            <w:vAlign w:val="center"/>
          </w:tcPr>
          <w:p w:rsidR="009C5454" w:rsidRPr="00805124" w:rsidRDefault="009C5454" w:rsidP="00786DA9">
            <w:pPr>
              <w:tabs>
                <w:tab w:val="left" w:pos="180"/>
              </w:tabs>
              <w:jc w:val="center"/>
              <w:rPr>
                <w:rFonts w:ascii="Times New Roman" w:hAnsi="Times New Roman"/>
              </w:rPr>
            </w:pPr>
            <w:r>
              <w:rPr>
                <w:rFonts w:ascii="Times New Roman" w:hAnsi="Times New Roman"/>
              </w:rPr>
              <w:t>Year</w:t>
            </w:r>
          </w:p>
        </w:tc>
        <w:tc>
          <w:tcPr>
            <w:tcW w:w="4220" w:type="dxa"/>
            <w:gridSpan w:val="3"/>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 xml:space="preserve">Tourist Arrivals </w:t>
            </w:r>
          </w:p>
        </w:tc>
        <w:tc>
          <w:tcPr>
            <w:tcW w:w="4112" w:type="dxa"/>
            <w:gridSpan w:val="3"/>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Tourist night stays</w:t>
            </w:r>
          </w:p>
        </w:tc>
      </w:tr>
      <w:tr w:rsidR="009C5454" w:rsidRPr="00805124">
        <w:tc>
          <w:tcPr>
            <w:tcW w:w="1298" w:type="dxa"/>
            <w:vMerge/>
            <w:shd w:val="clear" w:color="auto" w:fill="auto"/>
          </w:tcPr>
          <w:p w:rsidR="009C5454" w:rsidRPr="00805124" w:rsidRDefault="009C5454" w:rsidP="00786DA9">
            <w:pPr>
              <w:tabs>
                <w:tab w:val="left" w:pos="180"/>
              </w:tabs>
              <w:jc w:val="both"/>
              <w:rPr>
                <w:rFonts w:ascii="Times New Roman" w:hAnsi="Times New Roman"/>
              </w:rPr>
            </w:pPr>
          </w:p>
        </w:tc>
        <w:tc>
          <w:tcPr>
            <w:tcW w:w="1406"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298"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r>
      <w:tr w:rsidR="00C2071D" w:rsidRPr="00805124">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2014</w:t>
            </w:r>
          </w:p>
        </w:tc>
        <w:tc>
          <w:tcPr>
            <w:tcW w:w="1406"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261</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261</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2926</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2926</w:t>
            </w:r>
          </w:p>
        </w:tc>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r>
      <w:tr w:rsidR="00C2071D" w:rsidRPr="00805124">
        <w:trPr>
          <w:trHeight w:val="184"/>
        </w:trPr>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2015</w:t>
            </w:r>
          </w:p>
        </w:tc>
        <w:tc>
          <w:tcPr>
            <w:tcW w:w="1406"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470</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470</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5576</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5576</w:t>
            </w:r>
          </w:p>
        </w:tc>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r>
      <w:tr w:rsidR="00C2071D" w:rsidRPr="00805124">
        <w:trPr>
          <w:trHeight w:val="165"/>
        </w:trPr>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2016</w:t>
            </w:r>
          </w:p>
        </w:tc>
        <w:tc>
          <w:tcPr>
            <w:tcW w:w="1406"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389</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389</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4218</w:t>
            </w:r>
          </w:p>
        </w:tc>
        <w:tc>
          <w:tcPr>
            <w:tcW w:w="1407"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4218</w:t>
            </w:r>
          </w:p>
        </w:tc>
        <w:tc>
          <w:tcPr>
            <w:tcW w:w="1298" w:type="dxa"/>
            <w:shd w:val="clear" w:color="auto" w:fill="auto"/>
          </w:tcPr>
          <w:p w:rsidR="00C2071D" w:rsidRPr="00805124" w:rsidRDefault="00C2071D" w:rsidP="00786DA9">
            <w:pPr>
              <w:tabs>
                <w:tab w:val="left" w:pos="180"/>
              </w:tabs>
              <w:rPr>
                <w:rFonts w:ascii="Times New Roman" w:hAnsi="Times New Roman"/>
              </w:rPr>
            </w:pPr>
            <w:r w:rsidRPr="00805124">
              <w:rPr>
                <w:rFonts w:ascii="Times New Roman" w:hAnsi="Times New Roman"/>
              </w:rPr>
              <w:t>0</w:t>
            </w:r>
          </w:p>
        </w:tc>
      </w:tr>
    </w:tbl>
    <w:p w:rsidR="00C2071D" w:rsidRDefault="00C2071D" w:rsidP="00C2071D">
      <w:pPr>
        <w:tabs>
          <w:tab w:val="left" w:pos="180"/>
        </w:tabs>
        <w:jc w:val="both"/>
        <w:rPr>
          <w:rFonts w:ascii="Times New Roman" w:hAnsi="Times New Roman"/>
        </w:rPr>
      </w:pPr>
      <w:r>
        <w:rPr>
          <w:rFonts w:ascii="Times New Roman" w:hAnsi="Times New Roman"/>
        </w:rPr>
        <w:t>Source: Statistical Office of the</w:t>
      </w:r>
      <w:r w:rsidR="00E44FE0">
        <w:rPr>
          <w:rFonts w:ascii="Times New Roman" w:hAnsi="Times New Roman"/>
        </w:rPr>
        <w:t xml:space="preserve"> </w:t>
      </w:r>
      <w:r>
        <w:rPr>
          <w:rFonts w:ascii="Times New Roman" w:hAnsi="Times New Roman"/>
        </w:rPr>
        <w:t>Republic of Serbia, Belgrade (2017)</w:t>
      </w:r>
    </w:p>
    <w:p w:rsidR="00C2071D" w:rsidRDefault="00C2071D" w:rsidP="00C2071D">
      <w:pPr>
        <w:tabs>
          <w:tab w:val="left" w:pos="180"/>
        </w:tabs>
        <w:jc w:val="both"/>
        <w:rPr>
          <w:rFonts w:ascii="Times New Roman" w:hAnsi="Times New Roman"/>
        </w:rPr>
      </w:pPr>
    </w:p>
    <w:p w:rsidR="00C2071D" w:rsidRPr="007D41C4" w:rsidRDefault="007D41C4" w:rsidP="00810D88">
      <w:pPr>
        <w:tabs>
          <w:tab w:val="left" w:pos="0"/>
          <w:tab w:val="left" w:pos="360"/>
        </w:tabs>
        <w:jc w:val="both"/>
      </w:pPr>
      <w:r w:rsidRPr="007D41C4">
        <w:t xml:space="preserve">Statistical data indicate that </w:t>
      </w:r>
      <w:r>
        <w:t>t</w:t>
      </w:r>
      <w:r w:rsidR="00F123D7">
        <w:t>ourist arrivals in Badanja Spa are</w:t>
      </w:r>
      <w:r>
        <w:t xml:space="preserve"> </w:t>
      </w:r>
      <w:r w:rsidRPr="007D41C4">
        <w:t xml:space="preserve">reduced to arrivals and overnight stays of domestic tourists only. </w:t>
      </w:r>
      <w:r>
        <w:t>The spa</w:t>
      </w:r>
      <w:r w:rsidRPr="007D41C4">
        <w:t xml:space="preserve"> is usually visited by guests from the </w:t>
      </w:r>
      <w:r w:rsidR="00F95DDE">
        <w:t>local sur</w:t>
      </w:r>
      <w:r>
        <w:t>roundings</w:t>
      </w:r>
      <w:r w:rsidR="007E7830">
        <w:t xml:space="preserve"> (Pocerina, Tamnava</w:t>
      </w:r>
      <w:r w:rsidRPr="007D41C4">
        <w:t xml:space="preserve">, Rađevina) [8]. Although this is a spa resort of local importance, we can conclude that natural spa resources are underused. Badanja has significant balneological properties for the development </w:t>
      </w:r>
      <w:r>
        <w:t>of health</w:t>
      </w:r>
      <w:r w:rsidRPr="007D41C4">
        <w:t xml:space="preserve"> tourism and o</w:t>
      </w:r>
      <w:r>
        <w:t>ther forms of selective</w:t>
      </w:r>
      <w:r w:rsidRPr="007D41C4">
        <w:t xml:space="preserve"> tourism</w:t>
      </w:r>
      <w:r>
        <w:t xml:space="preserve"> forms</w:t>
      </w:r>
      <w:r w:rsidR="00F123D7">
        <w:t>. For</w:t>
      </w:r>
      <w:r w:rsidRPr="007D41C4">
        <w:t xml:space="preserve"> the competitiveness of Banja Kovilja</w:t>
      </w:r>
      <w:r>
        <w:t>č</w:t>
      </w:r>
      <w:r w:rsidRPr="007D41C4">
        <w:t>a, attracting to</w:t>
      </w:r>
      <w:r>
        <w:t>urists and higher attendance</w:t>
      </w:r>
      <w:r w:rsidRPr="007D41C4">
        <w:t xml:space="preserve"> can be achieved through the development of weekend tourism. Near the spa there are significant natural </w:t>
      </w:r>
      <w:r>
        <w:t xml:space="preserve">values </w:t>
      </w:r>
      <w:r w:rsidRPr="007D41C4">
        <w:t>(</w:t>
      </w:r>
      <w:r w:rsidR="007E7830">
        <w:t xml:space="preserve">Mountain </w:t>
      </w:r>
      <w:r w:rsidRPr="007D41C4">
        <w:t>Cer, Radovašnica</w:t>
      </w:r>
      <w:r w:rsidR="007E7830">
        <w:t xml:space="preserve"> Spa, Spa Bela Reka</w:t>
      </w:r>
      <w:r>
        <w:t xml:space="preserve">, </w:t>
      </w:r>
      <w:r w:rsidR="007E7830">
        <w:t>Spa Cerska Slatina</w:t>
      </w:r>
      <w:r>
        <w:t xml:space="preserve"> etc.) a</w:t>
      </w:r>
      <w:r w:rsidRPr="007D41C4">
        <w:t>nd anthropogenic</w:t>
      </w:r>
      <w:r>
        <w:t xml:space="preserve"> values</w:t>
      </w:r>
      <w:r w:rsidRPr="007D41C4">
        <w:t xml:space="preserve"> (Tekeriš, Tršić, Tronoša monastery, </w:t>
      </w:r>
      <w:r>
        <w:t xml:space="preserve">Radovašnica </w:t>
      </w:r>
      <w:r w:rsidR="006E0E79" w:rsidRPr="007D41C4">
        <w:t xml:space="preserve">monastery </w:t>
      </w:r>
      <w:r>
        <w:t>etc.)</w:t>
      </w:r>
      <w:r w:rsidRPr="007D41C4">
        <w:t xml:space="preserve">, which should be included in the promotion </w:t>
      </w:r>
      <w:r>
        <w:t>of Badanja at</w:t>
      </w:r>
      <w:r w:rsidRPr="007D41C4">
        <w:t xml:space="preserve"> tourism market.</w:t>
      </w:r>
    </w:p>
    <w:p w:rsidR="00810D88" w:rsidRPr="00810D88" w:rsidRDefault="00810D88" w:rsidP="00810D88">
      <w:pPr>
        <w:tabs>
          <w:tab w:val="left" w:pos="0"/>
          <w:tab w:val="left" w:pos="360"/>
        </w:tabs>
        <w:jc w:val="both"/>
        <w:rPr>
          <w:rFonts w:ascii="Times New Roman" w:hAnsi="Times New Roman"/>
          <w:b/>
          <w:sz w:val="22"/>
          <w:szCs w:val="22"/>
        </w:rPr>
      </w:pPr>
    </w:p>
    <w:p w:rsidR="00810D88" w:rsidRDefault="00810D88" w:rsidP="00CE53BB">
      <w:pPr>
        <w:numPr>
          <w:ilvl w:val="1"/>
          <w:numId w:val="2"/>
        </w:numPr>
        <w:tabs>
          <w:tab w:val="left" w:pos="0"/>
          <w:tab w:val="left" w:pos="360"/>
        </w:tabs>
        <w:ind w:left="270" w:hanging="270"/>
        <w:rPr>
          <w:rFonts w:ascii="Times New Roman" w:hAnsi="Times New Roman"/>
          <w:b/>
          <w:sz w:val="22"/>
          <w:szCs w:val="22"/>
        </w:rPr>
      </w:pPr>
      <w:r>
        <w:rPr>
          <w:rFonts w:ascii="Times New Roman" w:hAnsi="Times New Roman"/>
          <w:b/>
          <w:sz w:val="22"/>
          <w:szCs w:val="22"/>
        </w:rPr>
        <w:t xml:space="preserve"> Radalj Spa</w:t>
      </w:r>
    </w:p>
    <w:p w:rsidR="000221C7" w:rsidRPr="00CE53BB" w:rsidRDefault="000221C7" w:rsidP="00CE53BB">
      <w:pPr>
        <w:jc w:val="both"/>
        <w:rPr>
          <w:rFonts w:ascii="Times New Roman" w:hAnsi="Times New Roman"/>
          <w:sz w:val="22"/>
          <w:szCs w:val="22"/>
        </w:rPr>
      </w:pPr>
    </w:p>
    <w:p w:rsidR="009C5454" w:rsidRDefault="00CE53BB" w:rsidP="00CE53BB">
      <w:pPr>
        <w:jc w:val="both"/>
      </w:pPr>
      <w:r w:rsidRPr="00CE53BB">
        <w:t xml:space="preserve">Radalj </w:t>
      </w:r>
      <w:r>
        <w:t xml:space="preserve">Spa is located on the teritory </w:t>
      </w:r>
      <w:r w:rsidRPr="00CE53BB">
        <w:t xml:space="preserve">of </w:t>
      </w:r>
      <w:r>
        <w:t>M</w:t>
      </w:r>
      <w:r w:rsidRPr="00CE53BB">
        <w:t xml:space="preserve">unicipality of Mali Zvornik. </w:t>
      </w:r>
      <w:r>
        <w:t>It is l</w:t>
      </w:r>
      <w:r w:rsidRPr="00CE53BB">
        <w:t xml:space="preserve">ocated in the northwestern part of the </w:t>
      </w:r>
      <w:r>
        <w:t>Boranja</w:t>
      </w:r>
      <w:r w:rsidR="007D13F7">
        <w:t xml:space="preserve"> M</w:t>
      </w:r>
      <w:r w:rsidRPr="00CE53BB">
        <w:t xml:space="preserve">ountain, at an altitude of 350 m. </w:t>
      </w:r>
      <w:r>
        <w:t>It is p</w:t>
      </w:r>
      <w:r w:rsidRPr="00CE53BB">
        <w:t>art of the village Radalj</w:t>
      </w:r>
      <w:r w:rsidR="007D13F7">
        <w:t xml:space="preserve">, through which flows the </w:t>
      </w:r>
      <w:r w:rsidRPr="00CE53BB">
        <w:t>Radalj</w:t>
      </w:r>
      <w:r w:rsidR="007D13F7">
        <w:t xml:space="preserve"> River. From Loznica is away</w:t>
      </w:r>
      <w:r w:rsidRPr="00CE53BB">
        <w:t xml:space="preserve"> 20 km</w:t>
      </w:r>
      <w:r>
        <w:t xml:space="preserve"> and</w:t>
      </w:r>
      <w:r w:rsidRPr="00CE53BB">
        <w:t xml:space="preserve"> from Mali Zvornik 8 km. It has a </w:t>
      </w:r>
      <w:r w:rsidR="007D13F7">
        <w:t>moderate</w:t>
      </w:r>
      <w:r w:rsidRPr="00CE53BB">
        <w:t xml:space="preserve"> continental climate. The mean annual air temperature is 10,9</w:t>
      </w:r>
      <w:r w:rsidRPr="00CE53BB">
        <w:rPr>
          <w:vertAlign w:val="superscript"/>
        </w:rPr>
        <w:t>o</w:t>
      </w:r>
      <w:r>
        <w:t>C, a mean annual rainfall is</w:t>
      </w:r>
      <w:r w:rsidRPr="00CE53BB">
        <w:t xml:space="preserve"> 1.050 mm. Historical development of the spa is linked to </w:t>
      </w:r>
      <w:r w:rsidR="00932D05">
        <w:t xml:space="preserve">the use of its thermal springs and is known since </w:t>
      </w:r>
      <w:r w:rsidRPr="00CE53BB">
        <w:t>1900. At that time the spa was insufficient</w:t>
      </w:r>
      <w:r w:rsidR="00347B6D">
        <w:t>ly</w:t>
      </w:r>
      <w:r w:rsidRPr="00CE53BB">
        <w:t xml:space="preserve"> researched</w:t>
      </w:r>
      <w:r w:rsidR="00347B6D">
        <w:t xml:space="preserve"> </w:t>
      </w:r>
      <w:r w:rsidR="00347B6D" w:rsidRPr="00CE53BB">
        <w:t>hydrological</w:t>
      </w:r>
      <w:r w:rsidR="00347B6D">
        <w:t>y</w:t>
      </w:r>
      <w:r w:rsidRPr="00CE53BB">
        <w:t xml:space="preserve"> and therefore insufficiently regulated. First capped </w:t>
      </w:r>
      <w:r>
        <w:t xml:space="preserve">spring </w:t>
      </w:r>
      <w:r w:rsidR="00347B6D">
        <w:t>Slatina has</w:t>
      </w:r>
      <w:r w:rsidRPr="00CE53BB">
        <w:t xml:space="preserve"> yield of 0.3 l/s and water temperature 24</w:t>
      </w:r>
      <w:r w:rsidRPr="00CE53BB">
        <w:rPr>
          <w:vertAlign w:val="superscript"/>
        </w:rPr>
        <w:t>o</w:t>
      </w:r>
      <w:r w:rsidRPr="00CE53BB">
        <w:t xml:space="preserve">C. Recent </w:t>
      </w:r>
      <w:r w:rsidR="00347B6D">
        <w:t>was</w:t>
      </w:r>
      <w:r>
        <w:t xml:space="preserve"> found </w:t>
      </w:r>
      <w:r w:rsidR="00347B6D">
        <w:t xml:space="preserve">a source that </w:t>
      </w:r>
      <w:r>
        <w:t>yields of 750 l</w:t>
      </w:r>
      <w:r w:rsidRPr="00CE53BB">
        <w:t>/mi</w:t>
      </w:r>
      <w:r>
        <w:t>n, with water temperature</w:t>
      </w:r>
      <w:r w:rsidRPr="00CE53BB">
        <w:t xml:space="preserve"> </w:t>
      </w:r>
      <w:r>
        <w:t xml:space="preserve">of </w:t>
      </w:r>
      <w:r w:rsidRPr="00CE53BB">
        <w:t>28°</w:t>
      </w:r>
      <w:r>
        <w:t>C</w:t>
      </w:r>
      <w:r w:rsidRPr="00CE53BB">
        <w:t xml:space="preserve">. Studies have shown that thermal mineral water </w:t>
      </w:r>
      <w:r>
        <w:t>of Radalj S</w:t>
      </w:r>
      <w:r w:rsidR="00347B6D">
        <w:t>pas has</w:t>
      </w:r>
      <w:r w:rsidRPr="00CE53BB">
        <w:t xml:space="preserve"> an increa</w:t>
      </w:r>
      <w:r>
        <w:t xml:space="preserve">sed content of hydrogen sulfide and because of it is known as the </w:t>
      </w:r>
      <w:r>
        <w:rPr>
          <w:rFonts w:ascii="Times New Roman" w:hAnsi="Times New Roman"/>
        </w:rPr>
        <w:t>“</w:t>
      </w:r>
      <w:r>
        <w:t>Radalj sulphur</w:t>
      </w:r>
      <w:r>
        <w:rPr>
          <w:rFonts w:ascii="Times New Roman" w:hAnsi="Times New Roman"/>
        </w:rPr>
        <w:t>”</w:t>
      </w:r>
      <w:r w:rsidRPr="00CE53BB">
        <w:t xml:space="preserve"> [7]. These </w:t>
      </w:r>
      <w:r w:rsidR="00347B6D">
        <w:t>sources</w:t>
      </w:r>
      <w:r w:rsidRPr="00CE53BB">
        <w:t xml:space="preserve"> have a special role in the treatment of diabetes and rheumatic diseases.</w:t>
      </w:r>
    </w:p>
    <w:p w:rsidR="00DA0B94" w:rsidRPr="00DA0B94" w:rsidRDefault="00DA0B94" w:rsidP="00DA0B94">
      <w:pPr>
        <w:pStyle w:val="NormalWeb"/>
        <w:spacing w:before="0" w:beforeAutospacing="0" w:after="0" w:afterAutospacing="0"/>
        <w:jc w:val="both"/>
        <w:rPr>
          <w:sz w:val="20"/>
          <w:szCs w:val="20"/>
        </w:rPr>
      </w:pPr>
      <w:r w:rsidRPr="00DA0B94">
        <w:rPr>
          <w:sz w:val="20"/>
          <w:szCs w:val="20"/>
        </w:rPr>
        <w:t>In terms of tourism</w:t>
      </w:r>
      <w:r>
        <w:rPr>
          <w:sz w:val="20"/>
          <w:szCs w:val="20"/>
        </w:rPr>
        <w:t xml:space="preserve"> development the</w:t>
      </w:r>
      <w:r w:rsidRPr="00DA0B94">
        <w:rPr>
          <w:sz w:val="20"/>
          <w:szCs w:val="20"/>
        </w:rPr>
        <w:t xml:space="preserve"> spa is badly affirmed in relation to neighboring Koviljač</w:t>
      </w:r>
      <w:r>
        <w:rPr>
          <w:sz w:val="20"/>
          <w:szCs w:val="20"/>
        </w:rPr>
        <w:t>a</w:t>
      </w:r>
      <w:r w:rsidRPr="00DA0B94">
        <w:rPr>
          <w:sz w:val="20"/>
          <w:szCs w:val="20"/>
        </w:rPr>
        <w:t xml:space="preserve">. The holder of the accommodation capacity </w:t>
      </w:r>
      <w:r>
        <w:rPr>
          <w:sz w:val="20"/>
          <w:szCs w:val="20"/>
        </w:rPr>
        <w:t xml:space="preserve">is </w:t>
      </w:r>
      <w:r w:rsidRPr="00DA0B94">
        <w:rPr>
          <w:sz w:val="20"/>
          <w:szCs w:val="20"/>
        </w:rPr>
        <w:t xml:space="preserve">the company </w:t>
      </w:r>
      <w:r>
        <w:rPr>
          <w:sz w:val="20"/>
          <w:szCs w:val="20"/>
        </w:rPr>
        <w:t>“</w:t>
      </w:r>
      <w:r w:rsidRPr="00DA0B94">
        <w:rPr>
          <w:sz w:val="20"/>
          <w:szCs w:val="20"/>
        </w:rPr>
        <w:t>STENS-TURS</w:t>
      </w:r>
      <w:r>
        <w:rPr>
          <w:sz w:val="20"/>
          <w:szCs w:val="20"/>
        </w:rPr>
        <w:t>”, which is owner of the hotel “</w:t>
      </w:r>
      <w:r w:rsidRPr="00DA0B94">
        <w:rPr>
          <w:sz w:val="20"/>
          <w:szCs w:val="20"/>
        </w:rPr>
        <w:t>Izvor</w:t>
      </w:r>
      <w:r>
        <w:rPr>
          <w:sz w:val="20"/>
          <w:szCs w:val="20"/>
        </w:rPr>
        <w:t>”</w:t>
      </w:r>
      <w:r w:rsidRPr="00DA0B94">
        <w:rPr>
          <w:sz w:val="20"/>
          <w:szCs w:val="20"/>
        </w:rPr>
        <w:t xml:space="preserve"> with 40 available beds, hotel </w:t>
      </w:r>
      <w:r>
        <w:rPr>
          <w:sz w:val="20"/>
          <w:szCs w:val="20"/>
        </w:rPr>
        <w:t>“</w:t>
      </w:r>
      <w:r w:rsidRPr="00DA0B94">
        <w:rPr>
          <w:sz w:val="20"/>
          <w:szCs w:val="20"/>
        </w:rPr>
        <w:t>Radalj</w:t>
      </w:r>
      <w:r>
        <w:rPr>
          <w:sz w:val="20"/>
          <w:szCs w:val="20"/>
        </w:rPr>
        <w:t>”</w:t>
      </w:r>
      <w:r w:rsidRPr="00DA0B94">
        <w:rPr>
          <w:sz w:val="20"/>
          <w:szCs w:val="20"/>
        </w:rPr>
        <w:t xml:space="preserve"> with 60 beds and pension </w:t>
      </w:r>
      <w:r>
        <w:rPr>
          <w:sz w:val="20"/>
          <w:szCs w:val="20"/>
        </w:rPr>
        <w:t>“</w:t>
      </w:r>
      <w:r w:rsidRPr="00DA0B94">
        <w:rPr>
          <w:sz w:val="20"/>
          <w:szCs w:val="20"/>
        </w:rPr>
        <w:t>Stens</w:t>
      </w:r>
      <w:r>
        <w:rPr>
          <w:sz w:val="20"/>
          <w:szCs w:val="20"/>
        </w:rPr>
        <w:t>”</w:t>
      </w:r>
      <w:r w:rsidRPr="00DA0B94">
        <w:rPr>
          <w:sz w:val="20"/>
          <w:szCs w:val="20"/>
        </w:rPr>
        <w:t xml:space="preserve"> with 20 beds. </w:t>
      </w:r>
    </w:p>
    <w:p w:rsidR="009C5454" w:rsidRDefault="009C5454" w:rsidP="00DD759D">
      <w:pPr>
        <w:jc w:val="both"/>
        <w:rPr>
          <w:rFonts w:ascii="Times New Roman" w:hAnsi="Times New Roman"/>
          <w:b/>
          <w:sz w:val="22"/>
          <w:szCs w:val="22"/>
        </w:rPr>
      </w:pPr>
    </w:p>
    <w:p w:rsidR="00B469E4" w:rsidRDefault="00B469E4" w:rsidP="00DD759D">
      <w:pPr>
        <w:jc w:val="both"/>
        <w:rPr>
          <w:rFonts w:ascii="Times New Roman" w:hAnsi="Times New Roman"/>
          <w:b/>
          <w:sz w:val="22"/>
          <w:szCs w:val="22"/>
        </w:rPr>
      </w:pPr>
    </w:p>
    <w:p w:rsidR="00B469E4" w:rsidRPr="00CE53BB" w:rsidRDefault="00B469E4" w:rsidP="00DD759D">
      <w:pPr>
        <w:jc w:val="both"/>
        <w:rPr>
          <w:rFonts w:ascii="Times New Roman" w:hAnsi="Times New Roman"/>
          <w:b/>
          <w:sz w:val="22"/>
          <w:szCs w:val="22"/>
        </w:rPr>
      </w:pPr>
    </w:p>
    <w:p w:rsidR="009C5454" w:rsidRPr="00534F36" w:rsidRDefault="009C5454" w:rsidP="009C5454">
      <w:pPr>
        <w:tabs>
          <w:tab w:val="left" w:pos="180"/>
        </w:tabs>
        <w:jc w:val="center"/>
        <w:rPr>
          <w:rFonts w:ascii="Times New Roman" w:hAnsi="Times New Roman"/>
        </w:rPr>
      </w:pPr>
      <w:r>
        <w:rPr>
          <w:rFonts w:ascii="Times New Roman" w:hAnsi="Times New Roman"/>
          <w:b/>
        </w:rPr>
        <w:t>Table3</w:t>
      </w:r>
      <w:r w:rsidRPr="00534F36">
        <w:rPr>
          <w:rFonts w:ascii="Times New Roman" w:hAnsi="Times New Roman"/>
          <w:b/>
        </w:rPr>
        <w:t>:</w:t>
      </w:r>
      <w:r>
        <w:rPr>
          <w:rFonts w:ascii="Times New Roman" w:hAnsi="Times New Roman"/>
          <w:b/>
        </w:rPr>
        <w:t xml:space="preserve"> </w:t>
      </w:r>
      <w:r>
        <w:rPr>
          <w:rFonts w:ascii="Times New Roman" w:hAnsi="Times New Roman"/>
        </w:rPr>
        <w:t>Tourists in Radalj Spa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1406"/>
        <w:gridCol w:w="1407"/>
        <w:gridCol w:w="1407"/>
        <w:gridCol w:w="1407"/>
        <w:gridCol w:w="1407"/>
        <w:gridCol w:w="1298"/>
      </w:tblGrid>
      <w:tr w:rsidR="009C5454" w:rsidRPr="00805124">
        <w:tc>
          <w:tcPr>
            <w:tcW w:w="1298" w:type="dxa"/>
            <w:vMerge w:val="restart"/>
            <w:shd w:val="clear" w:color="auto" w:fill="auto"/>
            <w:vAlign w:val="center"/>
          </w:tcPr>
          <w:p w:rsidR="009C5454" w:rsidRPr="00805124" w:rsidRDefault="009C5454" w:rsidP="00786DA9">
            <w:pPr>
              <w:tabs>
                <w:tab w:val="left" w:pos="180"/>
              </w:tabs>
              <w:jc w:val="center"/>
              <w:rPr>
                <w:rFonts w:ascii="Times New Roman" w:hAnsi="Times New Roman"/>
              </w:rPr>
            </w:pPr>
            <w:r>
              <w:rPr>
                <w:rFonts w:ascii="Times New Roman" w:hAnsi="Times New Roman"/>
              </w:rPr>
              <w:t>Year</w:t>
            </w:r>
          </w:p>
        </w:tc>
        <w:tc>
          <w:tcPr>
            <w:tcW w:w="4220" w:type="dxa"/>
            <w:gridSpan w:val="3"/>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 xml:space="preserve">Tourist Arrivals </w:t>
            </w:r>
          </w:p>
        </w:tc>
        <w:tc>
          <w:tcPr>
            <w:tcW w:w="4112" w:type="dxa"/>
            <w:gridSpan w:val="3"/>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Tourist night stays</w:t>
            </w:r>
          </w:p>
        </w:tc>
      </w:tr>
      <w:tr w:rsidR="009C5454" w:rsidRPr="00805124">
        <w:tc>
          <w:tcPr>
            <w:tcW w:w="1298" w:type="dxa"/>
            <w:vMerge/>
            <w:shd w:val="clear" w:color="auto" w:fill="auto"/>
          </w:tcPr>
          <w:p w:rsidR="009C5454" w:rsidRPr="00805124" w:rsidRDefault="009C5454" w:rsidP="00786DA9">
            <w:pPr>
              <w:tabs>
                <w:tab w:val="left" w:pos="180"/>
              </w:tabs>
              <w:jc w:val="both"/>
              <w:rPr>
                <w:rFonts w:ascii="Times New Roman" w:hAnsi="Times New Roman"/>
              </w:rPr>
            </w:pPr>
          </w:p>
        </w:tc>
        <w:tc>
          <w:tcPr>
            <w:tcW w:w="1406"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c>
          <w:tcPr>
            <w:tcW w:w="1407"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Total</w:t>
            </w:r>
          </w:p>
        </w:tc>
        <w:tc>
          <w:tcPr>
            <w:tcW w:w="1298" w:type="dxa"/>
            <w:shd w:val="clear" w:color="auto" w:fill="auto"/>
          </w:tcPr>
          <w:p w:rsidR="009C5454" w:rsidRPr="00805124" w:rsidRDefault="009C5454" w:rsidP="00786DA9">
            <w:pPr>
              <w:tabs>
                <w:tab w:val="left" w:pos="180"/>
              </w:tabs>
              <w:jc w:val="center"/>
              <w:rPr>
                <w:rFonts w:ascii="Times New Roman" w:hAnsi="Times New Roman"/>
              </w:rPr>
            </w:pPr>
            <w:r>
              <w:rPr>
                <w:rFonts w:ascii="Times New Roman" w:hAnsi="Times New Roman"/>
              </w:rPr>
              <w:t>Domestic</w:t>
            </w:r>
          </w:p>
        </w:tc>
      </w:tr>
      <w:tr w:rsidR="009C5454" w:rsidRPr="00805124">
        <w:tc>
          <w:tcPr>
            <w:tcW w:w="1298"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2007</w:t>
            </w:r>
          </w:p>
        </w:tc>
        <w:tc>
          <w:tcPr>
            <w:tcW w:w="1406"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64</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52</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12</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224</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200</w:t>
            </w:r>
          </w:p>
        </w:tc>
        <w:tc>
          <w:tcPr>
            <w:tcW w:w="1298"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24</w:t>
            </w:r>
          </w:p>
        </w:tc>
      </w:tr>
      <w:tr w:rsidR="009C5454" w:rsidRPr="00805124">
        <w:tc>
          <w:tcPr>
            <w:tcW w:w="1298"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2016</w:t>
            </w:r>
          </w:p>
        </w:tc>
        <w:tc>
          <w:tcPr>
            <w:tcW w:w="1406"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772</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266</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6</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2930</w:t>
            </w:r>
          </w:p>
        </w:tc>
        <w:tc>
          <w:tcPr>
            <w:tcW w:w="1407"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2898</w:t>
            </w:r>
          </w:p>
        </w:tc>
        <w:tc>
          <w:tcPr>
            <w:tcW w:w="1298" w:type="dxa"/>
            <w:shd w:val="clear" w:color="auto" w:fill="auto"/>
          </w:tcPr>
          <w:p w:rsidR="009C5454" w:rsidRPr="00805124" w:rsidRDefault="009C5454" w:rsidP="00786DA9">
            <w:pPr>
              <w:tabs>
                <w:tab w:val="left" w:pos="180"/>
              </w:tabs>
              <w:rPr>
                <w:rFonts w:ascii="Times New Roman" w:hAnsi="Times New Roman"/>
              </w:rPr>
            </w:pPr>
            <w:r w:rsidRPr="00805124">
              <w:rPr>
                <w:rFonts w:ascii="Times New Roman" w:hAnsi="Times New Roman"/>
              </w:rPr>
              <w:t>32</w:t>
            </w:r>
          </w:p>
        </w:tc>
      </w:tr>
    </w:tbl>
    <w:p w:rsidR="009C5454" w:rsidRDefault="009C5454" w:rsidP="00DD759D">
      <w:pPr>
        <w:jc w:val="both"/>
        <w:rPr>
          <w:rFonts w:ascii="Times New Roman" w:hAnsi="Times New Roman"/>
        </w:rPr>
      </w:pPr>
      <w:r>
        <w:rPr>
          <w:rFonts w:ascii="Times New Roman" w:hAnsi="Times New Roman"/>
        </w:rPr>
        <w:t>Source: Statistical Office of the</w:t>
      </w:r>
      <w:r w:rsidR="00E44FE0">
        <w:rPr>
          <w:rFonts w:ascii="Times New Roman" w:hAnsi="Times New Roman"/>
        </w:rPr>
        <w:t xml:space="preserve"> </w:t>
      </w:r>
      <w:r>
        <w:rPr>
          <w:rFonts w:ascii="Times New Roman" w:hAnsi="Times New Roman"/>
        </w:rPr>
        <w:t>Republic of Serbia, Belgrade (2017)</w:t>
      </w:r>
    </w:p>
    <w:p w:rsidR="008514D1" w:rsidRDefault="008514D1" w:rsidP="00DD759D">
      <w:pPr>
        <w:jc w:val="both"/>
        <w:rPr>
          <w:rFonts w:ascii="Times New Roman" w:hAnsi="Times New Roman"/>
          <w:b/>
          <w:sz w:val="28"/>
          <w:szCs w:val="28"/>
        </w:rPr>
      </w:pPr>
    </w:p>
    <w:p w:rsidR="00210CC8" w:rsidRDefault="00210CC8" w:rsidP="00210CC8">
      <w:pPr>
        <w:jc w:val="both"/>
      </w:pPr>
      <w:r w:rsidRPr="00210CC8">
        <w:t xml:space="preserve">Statistical data show that </w:t>
      </w:r>
      <w:r w:rsidR="008514D1">
        <w:t>during</w:t>
      </w:r>
      <w:r>
        <w:t xml:space="preserve"> ten-year period the total tourist arrivals</w:t>
      </w:r>
      <w:r w:rsidRPr="00210CC8">
        <w:t xml:space="preserve"> in Radalj </w:t>
      </w:r>
      <w:r>
        <w:t xml:space="preserve">Spa </w:t>
      </w:r>
      <w:r w:rsidRPr="00210CC8">
        <w:t xml:space="preserve">increased by more than 10 times. </w:t>
      </w:r>
      <w:r>
        <w:t>Arrivals</w:t>
      </w:r>
      <w:r w:rsidR="008514D1">
        <w:t xml:space="preserve"> of domestic tourists</w:t>
      </w:r>
      <w:r>
        <w:t xml:space="preserve"> </w:t>
      </w:r>
      <w:r w:rsidRPr="00210CC8">
        <w:t>r</w:t>
      </w:r>
      <w:r>
        <w:t>ecorded a bigger jump</w:t>
      </w:r>
      <w:r w:rsidRPr="00210CC8">
        <w:t xml:space="preserve"> compared to the foreign ones. </w:t>
      </w:r>
      <w:r w:rsidR="008514D1">
        <w:t>So a</w:t>
      </w:r>
      <w:r w:rsidRPr="00210CC8">
        <w:t xml:space="preserve">s Badanja </w:t>
      </w:r>
      <w:r>
        <w:t>Spa and</w:t>
      </w:r>
      <w:r w:rsidRPr="00210CC8">
        <w:t xml:space="preserve"> Radalj</w:t>
      </w:r>
      <w:r w:rsidR="008514D1">
        <w:t xml:space="preserve"> </w:t>
      </w:r>
      <w:r>
        <w:t>Spa</w:t>
      </w:r>
      <w:r w:rsidRPr="00210CC8">
        <w:t xml:space="preserve"> is sufficiently well establishe</w:t>
      </w:r>
      <w:r w:rsidR="008514D1">
        <w:t>d on the tourist market. In the purpose of promotion</w:t>
      </w:r>
      <w:r w:rsidRPr="00210CC8">
        <w:t xml:space="preserve"> </w:t>
      </w:r>
      <w:r>
        <w:t xml:space="preserve">of the </w:t>
      </w:r>
      <w:r w:rsidRPr="00210CC8">
        <w:t xml:space="preserve">spas </w:t>
      </w:r>
      <w:r w:rsidR="008514D1">
        <w:t xml:space="preserve">it </w:t>
      </w:r>
      <w:r>
        <w:t xml:space="preserve">is </w:t>
      </w:r>
      <w:r w:rsidRPr="00210CC8">
        <w:t xml:space="preserve">necessary </w:t>
      </w:r>
      <w:r w:rsidR="008514D1">
        <w:t xml:space="preserve">to </w:t>
      </w:r>
      <w:r>
        <w:t>introduce tourist market with spa</w:t>
      </w:r>
      <w:r w:rsidRPr="00210CC8">
        <w:t xml:space="preserve"> potential</w:t>
      </w:r>
      <w:r>
        <w:t>s</w:t>
      </w:r>
      <w:r w:rsidRPr="00210CC8">
        <w:t xml:space="preserve">, both healthcare and excursion. </w:t>
      </w:r>
      <w:r>
        <w:t>To p</w:t>
      </w:r>
      <w:r w:rsidRPr="00210CC8">
        <w:t xml:space="preserve">otential </w:t>
      </w:r>
      <w:r>
        <w:t>spa guests</w:t>
      </w:r>
      <w:r w:rsidRPr="00210CC8">
        <w:t xml:space="preserve"> can </w:t>
      </w:r>
      <w:r>
        <w:t xml:space="preserve">be </w:t>
      </w:r>
      <w:r w:rsidRPr="00210CC8">
        <w:t>offer</w:t>
      </w:r>
      <w:r w:rsidR="008514D1">
        <w:t>ed</w:t>
      </w:r>
      <w:r w:rsidRPr="00210CC8">
        <w:t xml:space="preserve"> excursions to the natural, cultural and historical sites in the area.</w:t>
      </w:r>
      <w:r>
        <w:t xml:space="preserve"> From the natural resources there are Radalj</w:t>
      </w:r>
      <w:r w:rsidRPr="00210CC8">
        <w:t xml:space="preserve"> and Zvornik Lake. The cultural and historical value is much higher (Tronoša</w:t>
      </w:r>
      <w:r w:rsidR="00A40DE6">
        <w:t xml:space="preserve"> </w:t>
      </w:r>
      <w:r w:rsidR="00A40DE6" w:rsidRPr="00210CC8">
        <w:t>monastery</w:t>
      </w:r>
      <w:r w:rsidR="00A40DE6">
        <w:t>, Trš</w:t>
      </w:r>
      <w:r w:rsidR="00726B71">
        <w:t>ić, Mačkov stone</w:t>
      </w:r>
      <w:r w:rsidRPr="00210CC8">
        <w:t xml:space="preserve"> etc.). By including excursion tourism in the spa </w:t>
      </w:r>
      <w:r w:rsidR="008514D1">
        <w:t>offer</w:t>
      </w:r>
      <w:r w:rsidR="002523CA">
        <w:t xml:space="preserve"> </w:t>
      </w:r>
      <w:r w:rsidRPr="00210CC8">
        <w:t>significant effects in attracting tourists</w:t>
      </w:r>
      <w:r w:rsidR="008514D1">
        <w:t xml:space="preserve"> can</w:t>
      </w:r>
      <w:r w:rsidR="008514D1" w:rsidRPr="00210CC8">
        <w:t xml:space="preserve"> be achieved</w:t>
      </w:r>
      <w:r w:rsidRPr="00210CC8">
        <w:t>.</w:t>
      </w:r>
    </w:p>
    <w:p w:rsidR="000A393F" w:rsidRPr="000077BA" w:rsidRDefault="000A393F" w:rsidP="00210CC8">
      <w:pPr>
        <w:jc w:val="both"/>
      </w:pPr>
    </w:p>
    <w:p w:rsidR="00210CC8" w:rsidRPr="000077BA" w:rsidRDefault="00210CC8" w:rsidP="00210CC8">
      <w:pPr>
        <w:jc w:val="both"/>
        <w:rPr>
          <w:b/>
        </w:rPr>
      </w:pPr>
    </w:p>
    <w:p w:rsidR="00210CC8" w:rsidRDefault="00210CC8" w:rsidP="000A393F">
      <w:pPr>
        <w:numPr>
          <w:ilvl w:val="0"/>
          <w:numId w:val="2"/>
        </w:numPr>
        <w:tabs>
          <w:tab w:val="left" w:pos="270"/>
        </w:tabs>
        <w:ind w:left="0" w:firstLine="0"/>
        <w:jc w:val="both"/>
        <w:rPr>
          <w:b/>
          <w:sz w:val="22"/>
          <w:szCs w:val="22"/>
        </w:rPr>
      </w:pPr>
      <w:r>
        <w:rPr>
          <w:b/>
          <w:sz w:val="22"/>
          <w:szCs w:val="22"/>
        </w:rPr>
        <w:t>METHODOLOGY</w:t>
      </w:r>
    </w:p>
    <w:p w:rsidR="000A393F" w:rsidRDefault="000A393F" w:rsidP="000A393F">
      <w:pPr>
        <w:jc w:val="both"/>
        <w:rPr>
          <w:b/>
          <w:sz w:val="22"/>
          <w:szCs w:val="22"/>
        </w:rPr>
      </w:pPr>
    </w:p>
    <w:p w:rsidR="000A393F" w:rsidRDefault="000A393F" w:rsidP="000A393F">
      <w:pPr>
        <w:jc w:val="both"/>
      </w:pPr>
      <w:r w:rsidRPr="000A393F">
        <w:t>Indicators of to</w:t>
      </w:r>
      <w:r w:rsidR="007C03BB">
        <w:t>urist development of spas in</w:t>
      </w:r>
      <w:r w:rsidRPr="000A393F">
        <w:t xml:space="preserve"> </w:t>
      </w:r>
      <w:r>
        <w:t>Donje</w:t>
      </w:r>
      <w:r w:rsidRPr="000A393F">
        <w:t xml:space="preserve"> Podrinje were analyzed through indicators </w:t>
      </w:r>
      <w:r>
        <w:t xml:space="preserve">of </w:t>
      </w:r>
      <w:r w:rsidRPr="000A393F">
        <w:t>tourism functionality. The paper discusses the three indic</w:t>
      </w:r>
      <w:r>
        <w:t>ators (Defert Baretje-index, Charvat index and Schneider index</w:t>
      </w:r>
      <w:r w:rsidRPr="000A393F">
        <w:t>). For the study a secondary source of data (data of the Republic Institute for Statistics)</w:t>
      </w:r>
      <w:r w:rsidR="00671195">
        <w:rPr>
          <w:rStyle w:val="FootnoteReference"/>
        </w:rPr>
        <w:footnoteReference w:id="2"/>
      </w:r>
      <w:r w:rsidR="007C03BB">
        <w:t xml:space="preserve"> was</w:t>
      </w:r>
      <w:r w:rsidRPr="000A393F">
        <w:t xml:space="preserve"> used. The collected data were analyzed </w:t>
      </w:r>
      <w:r>
        <w:t xml:space="preserve">with </w:t>
      </w:r>
      <w:r w:rsidRPr="000A393F">
        <w:t xml:space="preserve">displayed mathematical formulas. The obtained results for each spa center are presented in the form of tables. A comparative method was used to determined the similarities and differences of the obtained results. Evolutionary method enhanced the development of health and wellness features in the spa center of </w:t>
      </w:r>
      <w:r w:rsidR="00A32BE0">
        <w:t>Donje Podrinje.</w:t>
      </w:r>
    </w:p>
    <w:p w:rsidR="00A32BE0" w:rsidRDefault="00A32BE0" w:rsidP="000A393F">
      <w:pPr>
        <w:jc w:val="both"/>
      </w:pPr>
    </w:p>
    <w:p w:rsidR="005960D2" w:rsidRDefault="005960D2" w:rsidP="000A393F">
      <w:pPr>
        <w:jc w:val="both"/>
      </w:pPr>
      <w:r>
        <w:t xml:space="preserve">The intensity in the tourism resorts/destination is calculated by </w:t>
      </w:r>
      <w:r w:rsidRPr="005960D2">
        <w:t>Defert-Baretje</w:t>
      </w:r>
      <w:r>
        <w:t xml:space="preserve"> index T(f) on the basis of the following formula:</w:t>
      </w:r>
    </w:p>
    <w:p w:rsidR="00A32BE0" w:rsidRDefault="00A32BE0" w:rsidP="000A393F">
      <w:pPr>
        <w:jc w:val="both"/>
      </w:pPr>
    </w:p>
    <w:p w:rsidR="00A32BE0" w:rsidRDefault="00A32BE0" w:rsidP="009E6805">
      <w:pPr>
        <w:pStyle w:val="21ZGIJCEquation"/>
        <w:ind w:left="284"/>
        <w:jc w:val="left"/>
        <w:rPr>
          <w:b/>
          <w:sz w:val="20"/>
          <w:szCs w:val="20"/>
        </w:rPr>
      </w:pPr>
      <w:r w:rsidRPr="009F403C">
        <w:rPr>
          <w:position w:val="-44"/>
          <w:sz w:val="20"/>
          <w:szCs w:val="20"/>
        </w:rPr>
        <w:object w:dxaOrig="2659"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3.5pt" o:ole="">
            <v:imagedata r:id="rId10" o:title=""/>
          </v:shape>
          <o:OLEObject Type="Embed" ProgID="Equation.3" ShapeID="_x0000_i1025" DrawAspect="Content" ObjectID="_1569575281" r:id="rId11"/>
        </w:object>
      </w:r>
      <w:r>
        <w:t xml:space="preserve">   </w:t>
      </w:r>
      <w:r w:rsidRPr="009F403C">
        <w:rPr>
          <w:sz w:val="20"/>
          <w:szCs w:val="20"/>
        </w:rPr>
        <w:t xml:space="preserve">                    </w:t>
      </w:r>
      <w:r>
        <w:rPr>
          <w:sz w:val="20"/>
          <w:szCs w:val="20"/>
        </w:rPr>
        <w:t xml:space="preserve">             </w:t>
      </w:r>
      <w:r w:rsidRPr="009F403C">
        <w:rPr>
          <w:sz w:val="20"/>
          <w:szCs w:val="20"/>
        </w:rPr>
        <w:t xml:space="preserve">  </w:t>
      </w:r>
      <w:r>
        <w:rPr>
          <w:sz w:val="20"/>
          <w:szCs w:val="20"/>
        </w:rPr>
        <w:t xml:space="preserve">                        </w:t>
      </w:r>
      <w:r w:rsidR="005960D2">
        <w:rPr>
          <w:sz w:val="20"/>
          <w:szCs w:val="20"/>
        </w:rPr>
        <w:t xml:space="preserve"> </w:t>
      </w:r>
      <w:r w:rsidRPr="009F403C">
        <w:rPr>
          <w:sz w:val="20"/>
          <w:szCs w:val="20"/>
        </w:rPr>
        <w:t xml:space="preserve">                                                              </w:t>
      </w:r>
      <w:r>
        <w:rPr>
          <w:sz w:val="20"/>
          <w:szCs w:val="20"/>
        </w:rPr>
        <w:t xml:space="preserve">          </w:t>
      </w:r>
      <w:r w:rsidRPr="009F403C">
        <w:rPr>
          <w:b/>
          <w:sz w:val="20"/>
          <w:szCs w:val="20"/>
        </w:rPr>
        <w:t>(1)</w:t>
      </w:r>
    </w:p>
    <w:p w:rsidR="005960D2" w:rsidRPr="005960D2" w:rsidRDefault="00725733" w:rsidP="005960D2">
      <w:r>
        <w:rPr>
          <w:rFonts w:ascii="Times New Roman" w:hAnsi="Times New Roman"/>
          <w:color w:val="000000"/>
        </w:rPr>
        <w:t>where</w:t>
      </w:r>
      <w:r w:rsidR="00F21665">
        <w:t xml:space="preserve"> </w:t>
      </w:r>
      <w:r w:rsidR="00F21665" w:rsidRPr="00F21665">
        <w:rPr>
          <w:i/>
        </w:rPr>
        <w:t>DTFI</w:t>
      </w:r>
      <w:r w:rsidR="00F21665">
        <w:t xml:space="preserve"> is T(f) </w:t>
      </w:r>
      <w:r w:rsidR="00F21665" w:rsidRPr="00F21665">
        <w:t>Defert-Baretje</w:t>
      </w:r>
      <w:r w:rsidR="00F21665">
        <w:t xml:space="preserve"> functionality index, </w:t>
      </w:r>
      <w:r w:rsidR="00F21665" w:rsidRPr="00F21665">
        <w:rPr>
          <w:i/>
        </w:rPr>
        <w:t>N</w:t>
      </w:r>
      <w:r w:rsidR="00F21665">
        <w:t xml:space="preserve"> is the number of beds, </w:t>
      </w:r>
      <w:r w:rsidR="00F21665" w:rsidRPr="00F21665">
        <w:rPr>
          <w:i/>
        </w:rPr>
        <w:t>P</w:t>
      </w:r>
      <w:r w:rsidR="00F21665">
        <w:t xml:space="preserve"> is the number of the local population and </w:t>
      </w:r>
      <w:r w:rsidR="00F21665" w:rsidRPr="00F21665">
        <w:rPr>
          <w:i/>
        </w:rPr>
        <w:t>S</w:t>
      </w:r>
      <w:r w:rsidR="00F21665">
        <w:t xml:space="preserve"> is the research area in km</w:t>
      </w:r>
      <w:r w:rsidR="00F21665">
        <w:rPr>
          <w:vertAlign w:val="superscript"/>
        </w:rPr>
        <w:t>2</w:t>
      </w:r>
      <w:r w:rsidR="00F21665">
        <w:t>.</w:t>
      </w:r>
    </w:p>
    <w:p w:rsidR="005960D2" w:rsidRPr="009F403C" w:rsidRDefault="005960D2" w:rsidP="009E6805">
      <w:pPr>
        <w:pStyle w:val="21ZGIJCEquation"/>
        <w:ind w:left="284"/>
        <w:jc w:val="left"/>
        <w:rPr>
          <w:sz w:val="20"/>
          <w:szCs w:val="20"/>
        </w:rPr>
      </w:pPr>
      <w:r w:rsidRPr="009F403C">
        <w:rPr>
          <w:position w:val="-44"/>
          <w:sz w:val="20"/>
          <w:szCs w:val="20"/>
        </w:rPr>
        <w:object w:dxaOrig="1400" w:dyaOrig="999">
          <v:shape id="_x0000_i1026" type="#_x0000_t75" style="width:61.5pt;height:43.5pt" o:ole="">
            <v:imagedata r:id="rId12" o:title=""/>
          </v:shape>
          <o:OLEObject Type="Embed" ProgID="Equation.3" ShapeID="_x0000_i1026" DrawAspect="Content" ObjectID="_1569575282" r:id="rId13"/>
        </w:object>
      </w:r>
      <w:r>
        <w:t xml:space="preserve">  </w:t>
      </w:r>
      <w:r w:rsidRPr="009F403C">
        <w:rPr>
          <w:sz w:val="20"/>
          <w:szCs w:val="20"/>
        </w:rPr>
        <w:t xml:space="preserve">                                                                                                </w:t>
      </w:r>
      <w:r>
        <w:rPr>
          <w:sz w:val="20"/>
          <w:szCs w:val="20"/>
        </w:rPr>
        <w:t xml:space="preserve">           </w:t>
      </w:r>
      <w:r w:rsidRPr="009F403C">
        <w:rPr>
          <w:sz w:val="20"/>
          <w:szCs w:val="20"/>
        </w:rPr>
        <w:t xml:space="preserve">                             </w:t>
      </w:r>
      <w:r>
        <w:rPr>
          <w:sz w:val="20"/>
          <w:szCs w:val="20"/>
        </w:rPr>
        <w:t xml:space="preserve">             </w:t>
      </w:r>
      <w:r w:rsidRPr="009F403C">
        <w:rPr>
          <w:sz w:val="20"/>
          <w:szCs w:val="20"/>
        </w:rPr>
        <w:t xml:space="preserve">     </w:t>
      </w:r>
      <w:r>
        <w:rPr>
          <w:sz w:val="20"/>
          <w:szCs w:val="20"/>
        </w:rPr>
        <w:t xml:space="preserve"> </w:t>
      </w:r>
      <w:r w:rsidRPr="009F403C">
        <w:rPr>
          <w:b/>
          <w:sz w:val="20"/>
          <w:szCs w:val="20"/>
        </w:rPr>
        <w:t>(2)</w:t>
      </w:r>
    </w:p>
    <w:p w:rsidR="000A393F" w:rsidRDefault="00F21665" w:rsidP="00F21665">
      <w:pPr>
        <w:pStyle w:val="NoSpacing"/>
        <w:rPr>
          <w:rFonts w:ascii="Times New Roman" w:hAnsi="Times New Roman"/>
          <w:sz w:val="20"/>
          <w:szCs w:val="20"/>
        </w:rPr>
      </w:pPr>
      <w:r>
        <w:rPr>
          <w:rFonts w:ascii="Times New Roman" w:hAnsi="Times New Roman"/>
          <w:color w:val="000000"/>
          <w:sz w:val="20"/>
          <w:szCs w:val="20"/>
        </w:rPr>
        <w:t>where</w:t>
      </w:r>
      <w:r w:rsidRPr="009F403C">
        <w:rPr>
          <w:rFonts w:ascii="Times New Roman" w:hAnsi="Times New Roman"/>
          <w:color w:val="000000"/>
          <w:sz w:val="20"/>
          <w:szCs w:val="20"/>
        </w:rPr>
        <w:t xml:space="preserve"> </w:t>
      </w:r>
      <w:r w:rsidRPr="009F403C">
        <w:rPr>
          <w:rFonts w:ascii="Times New Roman" w:hAnsi="Times New Roman"/>
          <w:i/>
          <w:color w:val="000000"/>
          <w:sz w:val="20"/>
          <w:szCs w:val="20"/>
        </w:rPr>
        <w:t>Tch</w:t>
      </w:r>
      <w:r w:rsidRPr="009F403C">
        <w:rPr>
          <w:rStyle w:val="CommentReference"/>
          <w:rFonts w:ascii="Times New Roman" w:eastAsia="Times New Roman" w:hAnsi="Times New Roman"/>
          <w:sz w:val="20"/>
          <w:szCs w:val="20"/>
        </w:rPr>
        <w:t xml:space="preserve"> </w:t>
      </w:r>
      <w:r>
        <w:rPr>
          <w:rStyle w:val="CommentReference"/>
          <w:rFonts w:ascii="Times New Roman" w:eastAsia="Times New Roman" w:hAnsi="Times New Roman"/>
          <w:sz w:val="20"/>
          <w:szCs w:val="20"/>
        </w:rPr>
        <w:t>is Charvt index</w:t>
      </w:r>
      <w:r w:rsidRPr="009F403C">
        <w:rPr>
          <w:rStyle w:val="CommentReference"/>
          <w:rFonts w:ascii="Times New Roman" w:eastAsia="Times New Roman" w:hAnsi="Times New Roman"/>
          <w:sz w:val="20"/>
          <w:szCs w:val="20"/>
        </w:rPr>
        <w:t xml:space="preserve">, </w:t>
      </w:r>
      <w:r w:rsidRPr="00F21665">
        <w:rPr>
          <w:rFonts w:ascii="Times New Roman" w:hAnsi="Times New Roman"/>
          <w:i/>
          <w:sz w:val="20"/>
          <w:szCs w:val="20"/>
        </w:rPr>
        <w:t>N</w:t>
      </w:r>
      <w:r w:rsidRPr="00F21665">
        <w:rPr>
          <w:rFonts w:ascii="Times New Roman" w:hAnsi="Times New Roman"/>
          <w:sz w:val="20"/>
          <w:szCs w:val="20"/>
        </w:rPr>
        <w:t xml:space="preserve"> is the number of beds, </w:t>
      </w:r>
      <w:r w:rsidRPr="00F21665">
        <w:rPr>
          <w:rFonts w:ascii="Times New Roman" w:hAnsi="Times New Roman"/>
          <w:i/>
          <w:sz w:val="20"/>
          <w:szCs w:val="20"/>
        </w:rPr>
        <w:t>P</w:t>
      </w:r>
      <w:r w:rsidRPr="00F21665">
        <w:rPr>
          <w:rFonts w:ascii="Times New Roman" w:hAnsi="Times New Roman"/>
          <w:sz w:val="20"/>
          <w:szCs w:val="20"/>
        </w:rPr>
        <w:t xml:space="preserve"> is the number of the local population</w:t>
      </w:r>
      <w:r w:rsidR="004E47B5">
        <w:rPr>
          <w:rFonts w:ascii="Times New Roman" w:hAnsi="Times New Roman"/>
          <w:sz w:val="20"/>
          <w:szCs w:val="20"/>
        </w:rPr>
        <w:t>.</w:t>
      </w:r>
    </w:p>
    <w:p w:rsidR="00725733" w:rsidRDefault="00725733" w:rsidP="00F21665">
      <w:pPr>
        <w:pStyle w:val="NoSpacing"/>
        <w:rPr>
          <w:rFonts w:ascii="Times New Roman" w:hAnsi="Times New Roman"/>
          <w:sz w:val="20"/>
          <w:szCs w:val="20"/>
        </w:rPr>
      </w:pPr>
    </w:p>
    <w:p w:rsidR="004E47B5" w:rsidRPr="009C6D32" w:rsidRDefault="009C6D32" w:rsidP="00F21665">
      <w:pPr>
        <w:pStyle w:val="NoSpacing"/>
        <w:rPr>
          <w:rFonts w:ascii="Times New Roman" w:hAnsi="Times New Roman"/>
          <w:sz w:val="20"/>
          <w:szCs w:val="20"/>
        </w:rPr>
      </w:pPr>
      <w:r w:rsidRPr="009C6D32">
        <w:rPr>
          <w:rFonts w:ascii="Times New Roman" w:hAnsi="Times New Roman"/>
          <w:sz w:val="20"/>
          <w:szCs w:val="20"/>
        </w:rPr>
        <w:t>Schneider index is the third index in expressing the intensity of the development of tourism in a resort/</w:t>
      </w:r>
      <w:r>
        <w:rPr>
          <w:rFonts w:ascii="Times New Roman" w:hAnsi="Times New Roman"/>
          <w:sz w:val="20"/>
          <w:szCs w:val="20"/>
        </w:rPr>
        <w:t>tourist place</w:t>
      </w:r>
      <w:r w:rsidRPr="009C6D32">
        <w:rPr>
          <w:rFonts w:ascii="Times New Roman" w:hAnsi="Times New Roman"/>
          <w:sz w:val="20"/>
          <w:szCs w:val="20"/>
        </w:rPr>
        <w:t>:</w:t>
      </w:r>
    </w:p>
    <w:p w:rsidR="004E47B5" w:rsidRDefault="004E47B5" w:rsidP="009E6805">
      <w:pPr>
        <w:pStyle w:val="21ZGIJCEquation"/>
        <w:ind w:left="284"/>
        <w:jc w:val="left"/>
        <w:rPr>
          <w:b/>
          <w:sz w:val="20"/>
          <w:szCs w:val="20"/>
        </w:rPr>
      </w:pPr>
      <w:r w:rsidRPr="009F403C">
        <w:rPr>
          <w:position w:val="-44"/>
          <w:sz w:val="20"/>
          <w:szCs w:val="20"/>
        </w:rPr>
        <w:object w:dxaOrig="1280" w:dyaOrig="999">
          <v:shape id="_x0000_i1027" type="#_x0000_t75" style="width:55.5pt;height:43.5pt" o:ole="">
            <v:imagedata r:id="rId14" o:title=""/>
          </v:shape>
          <o:OLEObject Type="Embed" ProgID="Equation.3" ShapeID="_x0000_i1027" DrawAspect="Content" ObjectID="_1569575283" r:id="rId15"/>
        </w:object>
      </w:r>
      <w:r>
        <w:rPr>
          <w:sz w:val="20"/>
          <w:szCs w:val="20"/>
        </w:rPr>
        <w:t xml:space="preserve">  </w:t>
      </w:r>
      <w:r w:rsidRPr="009F403C">
        <w:rPr>
          <w:sz w:val="20"/>
          <w:szCs w:val="20"/>
        </w:rPr>
        <w:t xml:space="preserve"> </w:t>
      </w:r>
      <w:r w:rsidRPr="009F403C">
        <w:rPr>
          <w:sz w:val="20"/>
          <w:szCs w:val="20"/>
        </w:rPr>
        <w:tab/>
        <w:t xml:space="preserve">                           </w:t>
      </w:r>
      <w:r>
        <w:rPr>
          <w:sz w:val="20"/>
          <w:szCs w:val="20"/>
        </w:rPr>
        <w:t xml:space="preserve">              </w:t>
      </w:r>
      <w:r w:rsidRPr="009F403C">
        <w:rPr>
          <w:sz w:val="20"/>
          <w:szCs w:val="20"/>
        </w:rPr>
        <w:t xml:space="preserve">                                                                                         </w:t>
      </w:r>
      <w:r>
        <w:rPr>
          <w:sz w:val="20"/>
          <w:szCs w:val="20"/>
        </w:rPr>
        <w:t xml:space="preserve">              </w:t>
      </w:r>
      <w:r w:rsidRPr="009F403C">
        <w:rPr>
          <w:b/>
          <w:sz w:val="20"/>
          <w:szCs w:val="20"/>
        </w:rPr>
        <w:t>(3)</w:t>
      </w:r>
    </w:p>
    <w:p w:rsidR="009C6D32" w:rsidRPr="009F403C" w:rsidRDefault="009C6D32" w:rsidP="009C6D32">
      <w:pPr>
        <w:pStyle w:val="09ZGIJCMaintext"/>
        <w:spacing w:before="0"/>
        <w:rPr>
          <w:sz w:val="20"/>
          <w:szCs w:val="20"/>
        </w:rPr>
      </w:pPr>
      <w:r>
        <w:rPr>
          <w:color w:val="000000"/>
          <w:sz w:val="20"/>
          <w:szCs w:val="20"/>
        </w:rPr>
        <w:t>Where is</w:t>
      </w:r>
      <w:r w:rsidRPr="009F403C">
        <w:rPr>
          <w:i/>
          <w:color w:val="000000"/>
          <w:sz w:val="20"/>
          <w:szCs w:val="20"/>
        </w:rPr>
        <w:t xml:space="preserve"> Ts</w:t>
      </w:r>
      <w:r w:rsidRPr="009F403C">
        <w:rPr>
          <w:color w:val="FF0000"/>
          <w:sz w:val="20"/>
          <w:szCs w:val="20"/>
        </w:rPr>
        <w:t xml:space="preserve"> </w:t>
      </w:r>
      <w:r w:rsidRPr="009C6D32">
        <w:rPr>
          <w:sz w:val="20"/>
          <w:szCs w:val="20"/>
        </w:rPr>
        <w:t>Schneider index</w:t>
      </w:r>
      <w:r w:rsidRPr="009F403C">
        <w:rPr>
          <w:color w:val="000000"/>
          <w:sz w:val="20"/>
          <w:szCs w:val="20"/>
        </w:rPr>
        <w:t xml:space="preserve">, </w:t>
      </w:r>
      <w:r w:rsidRPr="00F21665">
        <w:rPr>
          <w:i/>
          <w:sz w:val="20"/>
          <w:szCs w:val="20"/>
        </w:rPr>
        <w:t>N</w:t>
      </w:r>
      <w:r w:rsidRPr="00F21665">
        <w:rPr>
          <w:sz w:val="20"/>
          <w:szCs w:val="20"/>
        </w:rPr>
        <w:t xml:space="preserve"> is the number of beds, </w:t>
      </w:r>
      <w:r w:rsidRPr="00F21665">
        <w:rPr>
          <w:i/>
          <w:sz w:val="20"/>
          <w:szCs w:val="20"/>
        </w:rPr>
        <w:t>P</w:t>
      </w:r>
      <w:r w:rsidRPr="00F21665">
        <w:rPr>
          <w:sz w:val="20"/>
          <w:szCs w:val="20"/>
        </w:rPr>
        <w:t xml:space="preserve"> is the number of the local population</w:t>
      </w:r>
      <w:r>
        <w:rPr>
          <w:sz w:val="20"/>
          <w:szCs w:val="20"/>
        </w:rPr>
        <w:t>.</w:t>
      </w:r>
    </w:p>
    <w:p w:rsidR="009C6D32" w:rsidRPr="009F403C" w:rsidRDefault="009C6D32" w:rsidP="009C6D32">
      <w:pPr>
        <w:pStyle w:val="ListParagraph"/>
        <w:ind w:left="0"/>
        <w:rPr>
          <w:rFonts w:ascii="Times New Roman" w:hAnsi="Times New Roman"/>
          <w:b/>
        </w:rPr>
      </w:pPr>
    </w:p>
    <w:p w:rsidR="009C6D32" w:rsidRPr="009C6D32" w:rsidRDefault="009C6D32" w:rsidP="009C6D32"/>
    <w:p w:rsidR="000A393F" w:rsidRPr="000A393F" w:rsidRDefault="00501F7A" w:rsidP="000077BA">
      <w:pPr>
        <w:numPr>
          <w:ilvl w:val="0"/>
          <w:numId w:val="2"/>
        </w:numPr>
        <w:tabs>
          <w:tab w:val="left" w:pos="180"/>
        </w:tabs>
        <w:ind w:left="0" w:firstLine="0"/>
        <w:jc w:val="both"/>
        <w:rPr>
          <w:b/>
          <w:sz w:val="22"/>
          <w:szCs w:val="22"/>
        </w:rPr>
      </w:pPr>
      <w:r>
        <w:rPr>
          <w:b/>
          <w:sz w:val="22"/>
          <w:szCs w:val="22"/>
        </w:rPr>
        <w:t xml:space="preserve"> RESULTS AND DISCUSS</w:t>
      </w:r>
      <w:r w:rsidR="000077BA">
        <w:rPr>
          <w:b/>
          <w:sz w:val="22"/>
          <w:szCs w:val="22"/>
        </w:rPr>
        <w:t>ION</w:t>
      </w:r>
    </w:p>
    <w:p w:rsidR="000A393F" w:rsidRDefault="000A393F" w:rsidP="00210CC8">
      <w:pPr>
        <w:jc w:val="both"/>
        <w:rPr>
          <w:b/>
          <w:sz w:val="22"/>
          <w:szCs w:val="22"/>
        </w:rPr>
      </w:pPr>
    </w:p>
    <w:p w:rsidR="000A393F" w:rsidRDefault="00210D74" w:rsidP="00210CC8">
      <w:pPr>
        <w:jc w:val="both"/>
      </w:pPr>
      <w:r w:rsidRPr="00210D74">
        <w:t>The research results indic</w:t>
      </w:r>
      <w:r>
        <w:t xml:space="preserve">ate that the spa centers in Donje Podrinje </w:t>
      </w:r>
      <w:r w:rsidRPr="00210D74">
        <w:t xml:space="preserve">in the total </w:t>
      </w:r>
      <w:r>
        <w:t>tourist arrivals</w:t>
      </w:r>
      <w:r w:rsidRPr="00210D74">
        <w:t xml:space="preserve"> in the </w:t>
      </w:r>
      <w:r w:rsidR="004F573F">
        <w:t>Republic of Serbia accounted with 0.99%, and in</w:t>
      </w:r>
      <w:r w:rsidRPr="00210D74">
        <w:t xml:space="preserve"> the number of overnights with 2.25%. On the tourism market, these centers have local, national and regional importance. Local significance </w:t>
      </w:r>
      <w:r w:rsidR="004F573F">
        <w:t>has</w:t>
      </w:r>
      <w:r>
        <w:t xml:space="preserve"> </w:t>
      </w:r>
      <w:r w:rsidRPr="00210D74">
        <w:t>Badanja</w:t>
      </w:r>
      <w:r>
        <w:t xml:space="preserve"> Spa. Tourist arrivals are seasonal. Spa is</w:t>
      </w:r>
      <w:r w:rsidR="004F573F">
        <w:t xml:space="preserve"> developed near</w:t>
      </w:r>
      <w:r w:rsidRPr="00210D74">
        <w:t xml:space="preserve"> better-known a</w:t>
      </w:r>
      <w:r w:rsidR="004F573F">
        <w:t>nd better infrastructuraly</w:t>
      </w:r>
      <w:r>
        <w:t xml:space="preserve"> equipped Koviljač</w:t>
      </w:r>
      <w:r w:rsidRPr="00210D74">
        <w:t>a</w:t>
      </w:r>
      <w:r>
        <w:t xml:space="preserve"> Spa</w:t>
      </w:r>
      <w:r w:rsidRPr="00210D74">
        <w:t>. This is the</w:t>
      </w:r>
      <w:r>
        <w:t xml:space="preserve"> main reason why tourist arrivals are</w:t>
      </w:r>
      <w:r w:rsidRPr="00210D74">
        <w:t xml:space="preserve"> reduced to local guests, who come from Mačva, Posavina an</w:t>
      </w:r>
      <w:r>
        <w:t xml:space="preserve">d Tamnava. Unlike Badanja Spa </w:t>
      </w:r>
      <w:r w:rsidRPr="00210D74">
        <w:t>Radalj</w:t>
      </w:r>
      <w:r w:rsidR="004F573F">
        <w:t xml:space="preserve"> </w:t>
      </w:r>
      <w:r>
        <w:t>Spa</w:t>
      </w:r>
      <w:r w:rsidRPr="00210D74">
        <w:t xml:space="preserve"> recorded foreign guests</w:t>
      </w:r>
      <w:r w:rsidR="004F573F" w:rsidRPr="00210D74">
        <w:t xml:space="preserve"> </w:t>
      </w:r>
      <w:r w:rsidR="004F573F">
        <w:t>arrivals</w:t>
      </w:r>
      <w:r w:rsidR="004F573F" w:rsidRPr="00210D74">
        <w:t xml:space="preserve"> and overnight stays</w:t>
      </w:r>
      <w:r w:rsidRPr="00210D74">
        <w:t>. In 2016, foreign tourists have participated with 0.78% in the total turnover of the spa, and achieved 1.09% of the total nu</w:t>
      </w:r>
      <w:r w:rsidR="004F573F">
        <w:t>mber of overnight stays. It is</w:t>
      </w:r>
      <w:r w:rsidRPr="00210D74">
        <w:t xml:space="preserve"> very small share of foreign tourists, which only confirms the fact that foreign visitors </w:t>
      </w:r>
      <w:r>
        <w:t xml:space="preserve">came </w:t>
      </w:r>
      <w:r w:rsidRPr="00210D74">
        <w:t xml:space="preserve">from the former Yugoslav republics (Bosnia and Herzegovina and the Serbian Republic). The largest turnover of foreign tourists in the total turnover achieves Koviljača </w:t>
      </w:r>
      <w:r>
        <w:t xml:space="preserve">Spa </w:t>
      </w:r>
      <w:r w:rsidRPr="00210D74">
        <w:t xml:space="preserve">(25.34%). In 2016, foreign tourists in </w:t>
      </w:r>
      <w:r>
        <w:t>Koviljača Spa</w:t>
      </w:r>
      <w:r w:rsidRPr="00210D74">
        <w:t xml:space="preserve"> achieved 22.07% of the total number of overnight stays.</w:t>
      </w:r>
    </w:p>
    <w:p w:rsidR="006715F5" w:rsidRDefault="006715F5" w:rsidP="00210CC8">
      <w:pPr>
        <w:jc w:val="both"/>
      </w:pPr>
      <w:r w:rsidRPr="006715F5">
        <w:t>Based on the achieved total</w:t>
      </w:r>
      <w:r>
        <w:t xml:space="preserve"> turnover of tourists in 2016 w</w:t>
      </w:r>
      <w:r w:rsidRPr="006715F5">
        <w:t xml:space="preserve">e </w:t>
      </w:r>
      <w:r>
        <w:t xml:space="preserve">can conclude that </w:t>
      </w:r>
      <w:r w:rsidRPr="006715F5">
        <w:t xml:space="preserve">Koviljača </w:t>
      </w:r>
      <w:r>
        <w:t xml:space="preserve">Spa is the main </w:t>
      </w:r>
      <w:r w:rsidRPr="006715F5">
        <w:t>tourism c</w:t>
      </w:r>
      <w:r w:rsidR="00CE2CF9">
        <w:t>arrier of Donje Podrinje, because it contains</w:t>
      </w:r>
      <w:r w:rsidRPr="006715F5">
        <w:t xml:space="preserve"> the largest number of accommodation facilities. During the monitoring period (2005-2016) density arrangement of the accom</w:t>
      </w:r>
      <w:r w:rsidR="00CE2CF9">
        <w:t>modation capacity of the spa ranges from 91.14 beds/</w:t>
      </w:r>
      <w:r w:rsidRPr="006715F5">
        <w:t>km</w:t>
      </w:r>
      <w:r w:rsidRPr="006715F5">
        <w:rPr>
          <w:vertAlign w:val="superscript"/>
        </w:rPr>
        <w:t>2</w:t>
      </w:r>
      <w:r w:rsidRPr="006715F5">
        <w:t xml:space="preserve"> to 59.5 bed</w:t>
      </w:r>
      <w:r w:rsidR="00CE2CF9">
        <w:t>s</w:t>
      </w:r>
      <w:r w:rsidRPr="006715F5">
        <w:t>/km</w:t>
      </w:r>
      <w:r w:rsidRPr="006715F5">
        <w:rPr>
          <w:vertAlign w:val="superscript"/>
        </w:rPr>
        <w:t>2</w:t>
      </w:r>
      <w:r w:rsidRPr="006715F5">
        <w:t>. Changing</w:t>
      </w:r>
      <w:r w:rsidR="00CE2CF9">
        <w:t xml:space="preserve"> </w:t>
      </w:r>
      <w:r w:rsidRPr="006715F5">
        <w:t xml:space="preserve">the number of beds </w:t>
      </w:r>
      <w:r w:rsidR="00CE2CF9">
        <w:t xml:space="preserve">is </w:t>
      </w:r>
      <w:r w:rsidRPr="006715F5">
        <w:t>related to</w:t>
      </w:r>
      <w:r w:rsidR="00CE2CF9">
        <w:t xml:space="preserve"> </w:t>
      </w:r>
      <w:r w:rsidR="004F573F">
        <w:t>changing the structure of particular objects</w:t>
      </w:r>
      <w:r w:rsidRPr="006715F5">
        <w:t xml:space="preserve">. The density of the accommodation capacity was </w:t>
      </w:r>
      <w:r w:rsidR="004F573F">
        <w:t xml:space="preserve">also </w:t>
      </w:r>
      <w:r w:rsidRPr="006715F5">
        <w:t xml:space="preserve">recorded in Badanja </w:t>
      </w:r>
      <w:r w:rsidR="004F573F">
        <w:t>Spa and it ranges</w:t>
      </w:r>
      <w:r w:rsidR="00CE2CF9">
        <w:t xml:space="preserve"> </w:t>
      </w:r>
      <w:r w:rsidRPr="006715F5">
        <w:t>from 46.88 beds/km</w:t>
      </w:r>
      <w:r w:rsidRPr="00CE2CF9">
        <w:rPr>
          <w:vertAlign w:val="superscript"/>
        </w:rPr>
        <w:t>2</w:t>
      </w:r>
      <w:r w:rsidR="00CE2CF9">
        <w:t xml:space="preserve"> to 2.19 beds</w:t>
      </w:r>
      <w:r w:rsidRPr="006715F5">
        <w:t>/km</w:t>
      </w:r>
      <w:r w:rsidRPr="006715F5">
        <w:rPr>
          <w:vertAlign w:val="superscript"/>
        </w:rPr>
        <w:t>2</w:t>
      </w:r>
      <w:r w:rsidR="00CE2CF9">
        <w:t>, while in</w:t>
      </w:r>
      <w:r w:rsidRPr="006715F5">
        <w:t xml:space="preserve"> Radalj </w:t>
      </w:r>
      <w:r w:rsidR="00CE2CF9">
        <w:t xml:space="preserve">Spa </w:t>
      </w:r>
      <w:r w:rsidRPr="006715F5">
        <w:t xml:space="preserve">distribution of accommodation capacities </w:t>
      </w:r>
      <w:r w:rsidR="004F573F">
        <w:t xml:space="preserve">is </w:t>
      </w:r>
      <w:r w:rsidRPr="006715F5">
        <w:t>ranging from 0.88 beds/km</w:t>
      </w:r>
      <w:r w:rsidRPr="00CE2CF9">
        <w:rPr>
          <w:vertAlign w:val="superscript"/>
        </w:rPr>
        <w:t>2</w:t>
      </w:r>
      <w:r w:rsidRPr="006715F5">
        <w:t xml:space="preserve"> to 0.77 beds/km</w:t>
      </w:r>
      <w:r w:rsidRPr="006715F5">
        <w:rPr>
          <w:vertAlign w:val="superscript"/>
        </w:rPr>
        <w:t>2</w:t>
      </w:r>
      <w:r w:rsidRPr="006715F5">
        <w:t>.</w:t>
      </w:r>
    </w:p>
    <w:p w:rsidR="009A0061" w:rsidRPr="009A0061" w:rsidRDefault="009A0061" w:rsidP="00210CC8">
      <w:pPr>
        <w:jc w:val="both"/>
      </w:pPr>
      <w:r w:rsidRPr="009A0061">
        <w:t xml:space="preserve">Accommodation capacity density indicates the carrying capacity of destinations, which can be determined on the basis </w:t>
      </w:r>
      <w:r>
        <w:t xml:space="preserve">of </w:t>
      </w:r>
      <w:r w:rsidRPr="009A0061">
        <w:t xml:space="preserve">Defert-Barteje </w:t>
      </w:r>
      <w:r>
        <w:t>i</w:t>
      </w:r>
      <w:r w:rsidRPr="009A0061">
        <w:t xml:space="preserve">ndex. Defert Baretje-index is the ratio of the accommodation capacity per 100 </w:t>
      </w:r>
      <w:r>
        <w:t xml:space="preserve">inhabitants </w:t>
      </w:r>
      <w:r w:rsidRPr="009A0061">
        <w:t>of the attached area (places or destinations of tourism) per km</w:t>
      </w:r>
      <w:r w:rsidRPr="009A0061">
        <w:rPr>
          <w:vertAlign w:val="superscript"/>
        </w:rPr>
        <w:t>2</w:t>
      </w:r>
      <w:r w:rsidRPr="009A0061">
        <w:t xml:space="preserve">. </w:t>
      </w:r>
      <w:r w:rsidRPr="0002248F">
        <w:t>This index points to the impact of tourism on the cultural identity</w:t>
      </w:r>
      <w:r w:rsidR="00A34C82" w:rsidRPr="0002248F">
        <w:t xml:space="preserve"> of the local community,</w:t>
      </w:r>
      <w:r w:rsidR="00777A49" w:rsidRPr="0002248F">
        <w:t xml:space="preserve"> </w:t>
      </w:r>
      <w:r w:rsidR="00A34C82" w:rsidRPr="0002248F">
        <w:t>or</w:t>
      </w:r>
      <w:r w:rsidR="00D553BE" w:rsidRPr="0002248F">
        <w:t xml:space="preserve"> is the identity of local community sustainable</w:t>
      </w:r>
      <w:r w:rsidRPr="0002248F">
        <w:t xml:space="preserve"> due to the construction of accommodation facilities.</w:t>
      </w:r>
    </w:p>
    <w:p w:rsidR="006715F5" w:rsidRDefault="006715F5" w:rsidP="00210CC8">
      <w:pPr>
        <w:jc w:val="both"/>
      </w:pPr>
    </w:p>
    <w:p w:rsidR="006715F5" w:rsidRPr="00534F36" w:rsidRDefault="009A0061" w:rsidP="006715F5">
      <w:pPr>
        <w:tabs>
          <w:tab w:val="left" w:pos="180"/>
        </w:tabs>
        <w:jc w:val="center"/>
        <w:rPr>
          <w:rFonts w:ascii="Times New Roman" w:hAnsi="Times New Roman"/>
        </w:rPr>
      </w:pPr>
      <w:r>
        <w:rPr>
          <w:rFonts w:ascii="Times New Roman" w:hAnsi="Times New Roman"/>
          <w:b/>
        </w:rPr>
        <w:t xml:space="preserve">Table </w:t>
      </w:r>
      <w:r w:rsidR="006715F5">
        <w:rPr>
          <w:rFonts w:ascii="Times New Roman" w:hAnsi="Times New Roman"/>
          <w:b/>
        </w:rPr>
        <w:t>4</w:t>
      </w:r>
      <w:r w:rsidR="006715F5" w:rsidRPr="00534F36">
        <w:rPr>
          <w:rFonts w:ascii="Times New Roman" w:hAnsi="Times New Roman"/>
          <w:b/>
        </w:rPr>
        <w:t>:</w:t>
      </w:r>
      <w:r w:rsidR="006715F5">
        <w:rPr>
          <w:rFonts w:ascii="Times New Roman" w:hAnsi="Times New Roman"/>
          <w:b/>
        </w:rPr>
        <w:t xml:space="preserve"> </w:t>
      </w:r>
      <w:r w:rsidR="006715F5">
        <w:rPr>
          <w:rFonts w:ascii="Times New Roman" w:hAnsi="Times New Roman"/>
        </w:rPr>
        <w:t>Defert-Baretje index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282"/>
        <w:gridCol w:w="2282"/>
        <w:gridCol w:w="2282"/>
      </w:tblGrid>
      <w:tr w:rsidR="006715F5" w:rsidRPr="00C65F85">
        <w:tc>
          <w:tcPr>
            <w:tcW w:w="1008" w:type="dxa"/>
            <w:vMerge w:val="restart"/>
            <w:shd w:val="clear" w:color="auto" w:fill="auto"/>
            <w:vAlign w:val="center"/>
          </w:tcPr>
          <w:p w:rsidR="006715F5" w:rsidRPr="00C65F85" w:rsidRDefault="009A0061" w:rsidP="00786DA9">
            <w:pPr>
              <w:pStyle w:val="ListParagraph"/>
              <w:ind w:left="0"/>
              <w:jc w:val="center"/>
              <w:rPr>
                <w:rFonts w:ascii="Times New Roman" w:hAnsi="Times New Roman"/>
              </w:rPr>
            </w:pPr>
            <w:r>
              <w:rPr>
                <w:rFonts w:ascii="Times New Roman" w:hAnsi="Times New Roman"/>
              </w:rPr>
              <w:t>Year</w:t>
            </w:r>
          </w:p>
        </w:tc>
        <w:tc>
          <w:tcPr>
            <w:tcW w:w="6846" w:type="dxa"/>
            <w:gridSpan w:val="3"/>
            <w:shd w:val="clear" w:color="auto" w:fill="auto"/>
          </w:tcPr>
          <w:p w:rsidR="006715F5" w:rsidRPr="00C65F85" w:rsidRDefault="00E6788E" w:rsidP="00786DA9">
            <w:pPr>
              <w:pStyle w:val="ListParagraph"/>
              <w:ind w:left="0"/>
              <w:jc w:val="center"/>
              <w:rPr>
                <w:rFonts w:ascii="Times New Roman" w:hAnsi="Times New Roman"/>
              </w:rPr>
            </w:pPr>
            <w:r>
              <w:rPr>
                <w:rFonts w:ascii="Times New Roman" w:hAnsi="Times New Roman"/>
              </w:rPr>
              <w:t>Spa</w:t>
            </w:r>
          </w:p>
        </w:tc>
      </w:tr>
      <w:tr w:rsidR="006715F5" w:rsidRPr="00C65F85">
        <w:tc>
          <w:tcPr>
            <w:tcW w:w="1008" w:type="dxa"/>
            <w:vMerge/>
            <w:shd w:val="clear" w:color="auto" w:fill="auto"/>
          </w:tcPr>
          <w:p w:rsidR="006715F5" w:rsidRPr="00C65F85" w:rsidRDefault="006715F5" w:rsidP="00786DA9">
            <w:pPr>
              <w:pStyle w:val="ListParagraph"/>
              <w:ind w:left="0"/>
              <w:rPr>
                <w:rFonts w:ascii="Times New Roman" w:hAnsi="Times New Roman"/>
                <w:b/>
              </w:rPr>
            </w:pPr>
          </w:p>
        </w:tc>
        <w:tc>
          <w:tcPr>
            <w:tcW w:w="2282" w:type="dxa"/>
            <w:shd w:val="clear" w:color="auto" w:fill="auto"/>
          </w:tcPr>
          <w:p w:rsidR="006715F5" w:rsidRPr="00C65F85" w:rsidRDefault="006715F5" w:rsidP="00786DA9">
            <w:pPr>
              <w:pStyle w:val="ListParagraph"/>
              <w:ind w:left="0"/>
              <w:jc w:val="center"/>
              <w:rPr>
                <w:rFonts w:ascii="Times New Roman" w:hAnsi="Times New Roman"/>
              </w:rPr>
            </w:pPr>
            <w:r w:rsidRPr="00C65F85">
              <w:rPr>
                <w:rFonts w:ascii="Times New Roman" w:hAnsi="Times New Roman"/>
              </w:rPr>
              <w:t>Koviljača</w:t>
            </w:r>
            <w:r w:rsidR="009A0061">
              <w:rPr>
                <w:rFonts w:ascii="Times New Roman" w:hAnsi="Times New Roman"/>
              </w:rPr>
              <w:t xml:space="preserve"> Spa</w:t>
            </w:r>
          </w:p>
        </w:tc>
        <w:tc>
          <w:tcPr>
            <w:tcW w:w="2282" w:type="dxa"/>
            <w:shd w:val="clear" w:color="auto" w:fill="auto"/>
          </w:tcPr>
          <w:p w:rsidR="006715F5" w:rsidRPr="00C65F85" w:rsidRDefault="006715F5" w:rsidP="00786DA9">
            <w:pPr>
              <w:pStyle w:val="ListParagraph"/>
              <w:ind w:left="0"/>
              <w:jc w:val="center"/>
              <w:rPr>
                <w:rFonts w:ascii="Times New Roman" w:hAnsi="Times New Roman"/>
              </w:rPr>
            </w:pPr>
            <w:r w:rsidRPr="00C65F85">
              <w:rPr>
                <w:rFonts w:ascii="Times New Roman" w:hAnsi="Times New Roman"/>
              </w:rPr>
              <w:t>Badanja</w:t>
            </w:r>
            <w:r w:rsidR="009A0061">
              <w:rPr>
                <w:rFonts w:ascii="Times New Roman" w:hAnsi="Times New Roman"/>
              </w:rPr>
              <w:t xml:space="preserve"> Spa</w:t>
            </w:r>
          </w:p>
        </w:tc>
        <w:tc>
          <w:tcPr>
            <w:tcW w:w="2282" w:type="dxa"/>
            <w:shd w:val="clear" w:color="auto" w:fill="auto"/>
          </w:tcPr>
          <w:p w:rsidR="006715F5" w:rsidRPr="00C65F85" w:rsidRDefault="006715F5" w:rsidP="00786DA9">
            <w:pPr>
              <w:pStyle w:val="ListParagraph"/>
              <w:ind w:left="0"/>
              <w:jc w:val="center"/>
              <w:rPr>
                <w:rFonts w:ascii="Times New Roman" w:hAnsi="Times New Roman"/>
              </w:rPr>
            </w:pPr>
            <w:r w:rsidRPr="00C65F85">
              <w:rPr>
                <w:rFonts w:ascii="Times New Roman" w:hAnsi="Times New Roman"/>
              </w:rPr>
              <w:t>Radalj</w:t>
            </w:r>
            <w:r w:rsidR="009A0061">
              <w:rPr>
                <w:rFonts w:ascii="Times New Roman" w:hAnsi="Times New Roman"/>
              </w:rPr>
              <w:t xml:space="preserve"> Spa</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2016</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484,35</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108,96</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37,04</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2015</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311,73</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130,19</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2014</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307,93</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71,31</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2013</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413,46</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2012</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345,30</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2011</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418,54</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2010</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355,00</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2009</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314,95</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2008</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378,08</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2007</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356,48</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2,71</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2006</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318,71</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r w:rsidR="006715F5" w:rsidRPr="00C65F85">
        <w:tc>
          <w:tcPr>
            <w:tcW w:w="1008"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2005</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332,00</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6715F5" w:rsidRPr="00C65F85" w:rsidRDefault="006715F5" w:rsidP="00786DA9">
            <w:pPr>
              <w:pStyle w:val="ListParagraph"/>
              <w:ind w:left="0"/>
              <w:rPr>
                <w:rFonts w:ascii="Times New Roman" w:hAnsi="Times New Roman"/>
              </w:rPr>
            </w:pPr>
            <w:r w:rsidRPr="00C65F85">
              <w:rPr>
                <w:rFonts w:ascii="Times New Roman" w:hAnsi="Times New Roman"/>
              </w:rPr>
              <w:t>/</w:t>
            </w:r>
          </w:p>
        </w:tc>
      </w:tr>
    </w:tbl>
    <w:p w:rsidR="006715F5" w:rsidRDefault="006715F5" w:rsidP="006715F5">
      <w:pPr>
        <w:tabs>
          <w:tab w:val="left" w:pos="180"/>
        </w:tabs>
        <w:jc w:val="both"/>
        <w:rPr>
          <w:rFonts w:ascii="Times New Roman" w:hAnsi="Times New Roman"/>
        </w:rPr>
      </w:pPr>
      <w:r>
        <w:rPr>
          <w:rFonts w:ascii="Times New Roman" w:hAnsi="Times New Roman"/>
        </w:rPr>
        <w:t xml:space="preserve">            </w:t>
      </w:r>
      <w:r w:rsidR="009A0061">
        <w:rPr>
          <w:rFonts w:ascii="Times New Roman" w:hAnsi="Times New Roman"/>
        </w:rPr>
        <w:t xml:space="preserve">Source: Research results </w:t>
      </w:r>
    </w:p>
    <w:p w:rsidR="006715F5" w:rsidRPr="00E6788E" w:rsidRDefault="006715F5" w:rsidP="00210CC8">
      <w:pPr>
        <w:jc w:val="both"/>
        <w:rPr>
          <w:b/>
        </w:rPr>
      </w:pPr>
    </w:p>
    <w:p w:rsidR="0096190E" w:rsidRDefault="00E6788E" w:rsidP="00210CC8">
      <w:pPr>
        <w:pStyle w:val="BodyText"/>
        <w:rPr>
          <w:sz w:val="20"/>
          <w:szCs w:val="20"/>
        </w:rPr>
      </w:pPr>
      <w:r w:rsidRPr="00E6788E">
        <w:rPr>
          <w:sz w:val="20"/>
          <w:szCs w:val="20"/>
        </w:rPr>
        <w:t>For the r</w:t>
      </w:r>
      <w:r>
        <w:rPr>
          <w:sz w:val="20"/>
          <w:szCs w:val="20"/>
        </w:rPr>
        <w:t>esearch period (2005-2016</w:t>
      </w:r>
      <w:r w:rsidRPr="00E6788E">
        <w:rPr>
          <w:sz w:val="20"/>
          <w:szCs w:val="20"/>
        </w:rPr>
        <w:t>) Defert-Baretje index indicates a change of accommodation</w:t>
      </w:r>
      <w:r>
        <w:rPr>
          <w:sz w:val="20"/>
          <w:szCs w:val="20"/>
        </w:rPr>
        <w:t xml:space="preserve"> facilities in all </w:t>
      </w:r>
      <w:r w:rsidR="00A34C82">
        <w:rPr>
          <w:sz w:val="20"/>
          <w:szCs w:val="20"/>
        </w:rPr>
        <w:t xml:space="preserve">of </w:t>
      </w:r>
      <w:r>
        <w:rPr>
          <w:sz w:val="20"/>
          <w:szCs w:val="20"/>
        </w:rPr>
        <w:t>three spa</w:t>
      </w:r>
      <w:r w:rsidR="00A34C82">
        <w:rPr>
          <w:sz w:val="20"/>
          <w:szCs w:val="20"/>
        </w:rPr>
        <w:t>s</w:t>
      </w:r>
      <w:r>
        <w:rPr>
          <w:sz w:val="20"/>
          <w:szCs w:val="20"/>
        </w:rPr>
        <w:t xml:space="preserve"> and that</w:t>
      </w:r>
      <w:r w:rsidRPr="00E6788E">
        <w:rPr>
          <w:sz w:val="20"/>
          <w:szCs w:val="20"/>
        </w:rPr>
        <w:t xml:space="preserve"> local environment is not compromised </w:t>
      </w:r>
      <w:r>
        <w:rPr>
          <w:sz w:val="20"/>
          <w:szCs w:val="20"/>
        </w:rPr>
        <w:t xml:space="preserve">by </w:t>
      </w:r>
      <w:r w:rsidRPr="00E6788E">
        <w:rPr>
          <w:sz w:val="20"/>
          <w:szCs w:val="20"/>
        </w:rPr>
        <w:t>intensive construction of tourism infrastructure. Depending on the availability of dat</w:t>
      </w:r>
      <w:r>
        <w:rPr>
          <w:sz w:val="20"/>
          <w:szCs w:val="20"/>
        </w:rPr>
        <w:t>a, Defert-Baretje index of</w:t>
      </w:r>
      <w:r w:rsidRPr="00E6788E">
        <w:rPr>
          <w:sz w:val="20"/>
          <w:szCs w:val="20"/>
        </w:rPr>
        <w:t xml:space="preserve"> Kovilja</w:t>
      </w:r>
      <w:r>
        <w:rPr>
          <w:sz w:val="20"/>
          <w:szCs w:val="20"/>
        </w:rPr>
        <w:t>č</w:t>
      </w:r>
      <w:r w:rsidRPr="00E6788E">
        <w:rPr>
          <w:sz w:val="20"/>
          <w:szCs w:val="20"/>
        </w:rPr>
        <w:t xml:space="preserve">a </w:t>
      </w:r>
      <w:r>
        <w:rPr>
          <w:sz w:val="20"/>
          <w:szCs w:val="20"/>
        </w:rPr>
        <w:t xml:space="preserve">Spa </w:t>
      </w:r>
      <w:r w:rsidRPr="00E6788E">
        <w:rPr>
          <w:sz w:val="20"/>
          <w:szCs w:val="20"/>
        </w:rPr>
        <w:t>is les</w:t>
      </w:r>
      <w:r>
        <w:rPr>
          <w:sz w:val="20"/>
          <w:szCs w:val="20"/>
        </w:rPr>
        <w:t>s than 500, indicating</w:t>
      </w:r>
      <w:r w:rsidRPr="00E6788E">
        <w:rPr>
          <w:sz w:val="20"/>
          <w:szCs w:val="20"/>
        </w:rPr>
        <w:t xml:space="preserve"> great and already built recreation center. For Badanja, this index is </w:t>
      </w:r>
      <w:r>
        <w:rPr>
          <w:sz w:val="20"/>
          <w:szCs w:val="20"/>
        </w:rPr>
        <w:t xml:space="preserve">around </w:t>
      </w:r>
      <w:r w:rsidRPr="00E6788E">
        <w:rPr>
          <w:sz w:val="20"/>
          <w:szCs w:val="20"/>
        </w:rPr>
        <w:t xml:space="preserve">100, which indicates the </w:t>
      </w:r>
      <w:r w:rsidR="00A34C82">
        <w:rPr>
          <w:sz w:val="20"/>
          <w:szCs w:val="20"/>
        </w:rPr>
        <w:t>site with</w:t>
      </w:r>
      <w:r w:rsidRPr="00E6788E">
        <w:rPr>
          <w:sz w:val="20"/>
          <w:szCs w:val="20"/>
        </w:rPr>
        <w:t xml:space="preserve"> dominant local tourist activity.</w:t>
      </w:r>
      <w:r>
        <w:rPr>
          <w:sz w:val="20"/>
          <w:szCs w:val="20"/>
        </w:rPr>
        <w:t xml:space="preserve"> Defert-Baretje index for </w:t>
      </w:r>
      <w:r w:rsidRPr="00E6788E">
        <w:rPr>
          <w:sz w:val="20"/>
          <w:szCs w:val="20"/>
        </w:rPr>
        <w:t xml:space="preserve">Radalj </w:t>
      </w:r>
      <w:r>
        <w:rPr>
          <w:sz w:val="20"/>
          <w:szCs w:val="20"/>
        </w:rPr>
        <w:t>Spa is less than 40 and indicates that it is a site</w:t>
      </w:r>
      <w:r w:rsidR="00A34C82">
        <w:rPr>
          <w:sz w:val="20"/>
          <w:szCs w:val="20"/>
        </w:rPr>
        <w:t xml:space="preserve"> with</w:t>
      </w:r>
      <w:r w:rsidRPr="00E6788E">
        <w:rPr>
          <w:sz w:val="20"/>
          <w:szCs w:val="20"/>
        </w:rPr>
        <w:t xml:space="preserve"> significant, but not dominant recreation activities [13].</w:t>
      </w:r>
    </w:p>
    <w:p w:rsidR="00E6788E" w:rsidRPr="00E6788E" w:rsidRDefault="00E6788E" w:rsidP="00210CC8">
      <w:pPr>
        <w:pStyle w:val="BodyText"/>
        <w:rPr>
          <w:sz w:val="20"/>
          <w:szCs w:val="20"/>
        </w:rPr>
      </w:pPr>
      <w:r w:rsidRPr="00E6788E">
        <w:rPr>
          <w:sz w:val="20"/>
          <w:szCs w:val="20"/>
        </w:rPr>
        <w:t>Tourist arrivals (Schnaider index) and actual n</w:t>
      </w:r>
      <w:r>
        <w:rPr>
          <w:sz w:val="20"/>
          <w:szCs w:val="20"/>
        </w:rPr>
        <w:t>umber of overnight stays (</w:t>
      </w:r>
      <w:r w:rsidRPr="00E6788E">
        <w:rPr>
          <w:sz w:val="20"/>
          <w:szCs w:val="20"/>
        </w:rPr>
        <w:t>Charvat</w:t>
      </w:r>
      <w:r>
        <w:rPr>
          <w:sz w:val="20"/>
          <w:szCs w:val="20"/>
        </w:rPr>
        <w:t xml:space="preserve"> index</w:t>
      </w:r>
      <w:r w:rsidRPr="00E6788E">
        <w:rPr>
          <w:sz w:val="20"/>
          <w:szCs w:val="20"/>
        </w:rPr>
        <w:t>) are the best indicators of the intensity of tourism and tourist saturation. The high in</w:t>
      </w:r>
      <w:r w:rsidR="00A34C82">
        <w:rPr>
          <w:sz w:val="20"/>
          <w:szCs w:val="20"/>
        </w:rPr>
        <w:t>tensity of tourism has</w:t>
      </w:r>
      <w:r w:rsidRPr="00E6788E">
        <w:rPr>
          <w:sz w:val="20"/>
          <w:szCs w:val="20"/>
        </w:rPr>
        <w:t xml:space="preserve"> negative impact on the local community and can impair it</w:t>
      </w:r>
      <w:r>
        <w:rPr>
          <w:sz w:val="20"/>
          <w:szCs w:val="20"/>
        </w:rPr>
        <w:t>s cultural identity, but also</w:t>
      </w:r>
      <w:r w:rsidRPr="00E6788E">
        <w:rPr>
          <w:sz w:val="20"/>
          <w:szCs w:val="20"/>
        </w:rPr>
        <w:t xml:space="preserve"> reduce the qua</w:t>
      </w:r>
      <w:r>
        <w:rPr>
          <w:sz w:val="20"/>
          <w:szCs w:val="20"/>
        </w:rPr>
        <w:t xml:space="preserve">lity of the tourist experience </w:t>
      </w:r>
      <w:r w:rsidRPr="00E6788E">
        <w:rPr>
          <w:sz w:val="20"/>
          <w:szCs w:val="20"/>
        </w:rPr>
        <w:t>[14]</w:t>
      </w:r>
      <w:r>
        <w:rPr>
          <w:sz w:val="20"/>
          <w:szCs w:val="20"/>
        </w:rPr>
        <w:t>.</w:t>
      </w:r>
    </w:p>
    <w:p w:rsidR="00E6788E" w:rsidRDefault="00E6788E" w:rsidP="00210CC8">
      <w:pPr>
        <w:pStyle w:val="BodyText"/>
        <w:rPr>
          <w:sz w:val="20"/>
          <w:szCs w:val="20"/>
        </w:rPr>
      </w:pPr>
    </w:p>
    <w:p w:rsidR="00E6788E" w:rsidRPr="00534F36" w:rsidRDefault="00E6788E" w:rsidP="00E6788E">
      <w:pPr>
        <w:tabs>
          <w:tab w:val="left" w:pos="180"/>
        </w:tabs>
        <w:jc w:val="center"/>
        <w:rPr>
          <w:rFonts w:ascii="Times New Roman" w:hAnsi="Times New Roman"/>
        </w:rPr>
      </w:pPr>
      <w:r>
        <w:rPr>
          <w:rFonts w:ascii="Times New Roman" w:hAnsi="Times New Roman"/>
          <w:b/>
        </w:rPr>
        <w:t>Table5</w:t>
      </w:r>
      <w:r w:rsidRPr="00534F36">
        <w:rPr>
          <w:rFonts w:ascii="Times New Roman" w:hAnsi="Times New Roman"/>
          <w:b/>
        </w:rPr>
        <w:t>:</w:t>
      </w:r>
      <w:r>
        <w:rPr>
          <w:rFonts w:ascii="Times New Roman" w:hAnsi="Times New Roman"/>
          <w:b/>
        </w:rPr>
        <w:t xml:space="preserve"> </w:t>
      </w:r>
      <w:r>
        <w:rPr>
          <w:rFonts w:ascii="Times New Roman" w:hAnsi="Times New Roman"/>
        </w:rPr>
        <w:t>Charvat index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282"/>
        <w:gridCol w:w="2282"/>
        <w:gridCol w:w="2282"/>
      </w:tblGrid>
      <w:tr w:rsidR="00E6788E" w:rsidRPr="00C65F85">
        <w:tc>
          <w:tcPr>
            <w:tcW w:w="1008" w:type="dxa"/>
            <w:vMerge w:val="restart"/>
            <w:shd w:val="clear" w:color="auto" w:fill="auto"/>
            <w:vAlign w:val="center"/>
          </w:tcPr>
          <w:p w:rsidR="00E6788E" w:rsidRPr="00C65F85" w:rsidRDefault="00E6788E" w:rsidP="0043348A">
            <w:pPr>
              <w:pStyle w:val="ListParagraph"/>
              <w:ind w:left="0"/>
              <w:jc w:val="center"/>
              <w:rPr>
                <w:rFonts w:ascii="Times New Roman" w:hAnsi="Times New Roman"/>
              </w:rPr>
            </w:pPr>
            <w:r>
              <w:rPr>
                <w:rFonts w:ascii="Times New Roman" w:hAnsi="Times New Roman"/>
              </w:rPr>
              <w:t>Year</w:t>
            </w:r>
          </w:p>
        </w:tc>
        <w:tc>
          <w:tcPr>
            <w:tcW w:w="6846" w:type="dxa"/>
            <w:gridSpan w:val="3"/>
            <w:shd w:val="clear" w:color="auto" w:fill="auto"/>
          </w:tcPr>
          <w:p w:rsidR="00E6788E" w:rsidRPr="00C65F85" w:rsidRDefault="00E6788E" w:rsidP="0043348A">
            <w:pPr>
              <w:pStyle w:val="ListParagraph"/>
              <w:ind w:left="0"/>
              <w:jc w:val="center"/>
              <w:rPr>
                <w:rFonts w:ascii="Times New Roman" w:hAnsi="Times New Roman"/>
              </w:rPr>
            </w:pPr>
            <w:r>
              <w:rPr>
                <w:rFonts w:ascii="Times New Roman" w:hAnsi="Times New Roman"/>
              </w:rPr>
              <w:t>Spa</w:t>
            </w:r>
          </w:p>
        </w:tc>
      </w:tr>
      <w:tr w:rsidR="00E6788E" w:rsidRPr="00C65F85">
        <w:tc>
          <w:tcPr>
            <w:tcW w:w="1008" w:type="dxa"/>
            <w:vMerge/>
            <w:shd w:val="clear" w:color="auto" w:fill="auto"/>
          </w:tcPr>
          <w:p w:rsidR="00E6788E" w:rsidRPr="00C65F85" w:rsidRDefault="00E6788E" w:rsidP="0043348A">
            <w:pPr>
              <w:pStyle w:val="ListParagraph"/>
              <w:ind w:left="0"/>
              <w:rPr>
                <w:rFonts w:ascii="Times New Roman" w:hAnsi="Times New Roman"/>
                <w:b/>
              </w:rPr>
            </w:pP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Koviljača</w:t>
            </w:r>
            <w:r>
              <w:rPr>
                <w:rFonts w:ascii="Times New Roman" w:hAnsi="Times New Roman"/>
              </w:rPr>
              <w:t xml:space="preserve"> Spa</w:t>
            </w: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Badanja</w:t>
            </w:r>
            <w:r>
              <w:rPr>
                <w:rFonts w:ascii="Times New Roman" w:hAnsi="Times New Roman"/>
              </w:rPr>
              <w:t xml:space="preserve"> Spa</w:t>
            </w: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Radalj</w:t>
            </w:r>
            <w:r>
              <w:rPr>
                <w:rFonts w:ascii="Times New Roman" w:hAnsi="Times New Roman"/>
              </w:rPr>
              <w:t xml:space="preserve"> Spa</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3.092,68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1.181,51</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140,59</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2.136,82</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1.544,59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2014</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2.670,29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799,45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3.440,99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2012</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3.306,58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2011</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4.195,95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2010</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3.217,05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2.685,32</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3.006,38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2007</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2.951,53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9,49</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3.460,09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2.559,23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bl>
    <w:p w:rsidR="00E6788E" w:rsidRDefault="00E6788E" w:rsidP="00E6788E">
      <w:pPr>
        <w:tabs>
          <w:tab w:val="left" w:pos="180"/>
        </w:tabs>
        <w:jc w:val="both"/>
        <w:rPr>
          <w:rFonts w:ascii="Times New Roman" w:hAnsi="Times New Roman"/>
        </w:rPr>
      </w:pPr>
      <w:r>
        <w:rPr>
          <w:rFonts w:ascii="Times New Roman" w:hAnsi="Times New Roman"/>
        </w:rPr>
        <w:t xml:space="preserve">            Source: Research results</w:t>
      </w:r>
    </w:p>
    <w:p w:rsidR="00E6788E" w:rsidRDefault="00E6788E" w:rsidP="00E6788E">
      <w:pPr>
        <w:tabs>
          <w:tab w:val="left" w:pos="180"/>
        </w:tabs>
        <w:jc w:val="both"/>
        <w:rPr>
          <w:rFonts w:ascii="Times New Roman" w:hAnsi="Times New Roman"/>
        </w:rPr>
      </w:pPr>
    </w:p>
    <w:p w:rsidR="00E6788E" w:rsidRDefault="00B661AB" w:rsidP="00E6788E">
      <w:pPr>
        <w:tabs>
          <w:tab w:val="left" w:pos="180"/>
        </w:tabs>
        <w:jc w:val="both"/>
      </w:pPr>
      <w:r w:rsidRPr="00B661AB">
        <w:t xml:space="preserve">Charvat index measures the number of overnight stays per 100 inhabitants. Actual number of nights is one of the most important economic indicators of developing </w:t>
      </w:r>
      <w:r w:rsidR="00A34C82">
        <w:t>ment of</w:t>
      </w:r>
      <w:r w:rsidRPr="00B661AB">
        <w:t xml:space="preserve"> particular destination.</w:t>
      </w:r>
      <w:r w:rsidR="00A34C82">
        <w:t xml:space="preserve"> Income</w:t>
      </w:r>
      <w:r w:rsidRPr="00B661AB">
        <w:t xml:space="preserve"> generated in this way,</w:t>
      </w:r>
      <w:r w:rsidR="003349B5">
        <w:t xml:space="preserve"> stay in</w:t>
      </w:r>
      <w:r w:rsidRPr="00B661AB">
        <w:t xml:space="preserve"> local community </w:t>
      </w:r>
      <w:r w:rsidR="00A34C82">
        <w:t>whic</w:t>
      </w:r>
      <w:r w:rsidR="003349B5">
        <w:t xml:space="preserve">h uses it to invest </w:t>
      </w:r>
      <w:r w:rsidRPr="00B661AB">
        <w:t>in the promotion and development of tourism. Charvat index of Kovilja</w:t>
      </w:r>
      <w:r w:rsidR="003349B5">
        <w:t>č</w:t>
      </w:r>
      <w:r w:rsidRPr="00B661AB">
        <w:t xml:space="preserve">a </w:t>
      </w:r>
      <w:r w:rsidR="003349B5">
        <w:t>Spa</w:t>
      </w:r>
      <w:r w:rsidR="00A34C82">
        <w:t xml:space="preserve"> is </w:t>
      </w:r>
      <w:r w:rsidRPr="00B661AB">
        <w:t xml:space="preserve">ranging from 2136.29 to 4195.95 per night/per 100 inhabitants. Indicates a minimum of overnight stays in 2015 and </w:t>
      </w:r>
      <w:r w:rsidR="003349B5">
        <w:t xml:space="preserve">maximum </w:t>
      </w:r>
      <w:r w:rsidRPr="00B661AB">
        <w:t xml:space="preserve">in 2011. Maximum of overnight stays is an indicator of economic recovery and a slight increase in living standard after the global economic crisis </w:t>
      </w:r>
      <w:r w:rsidR="003349B5">
        <w:t>in 2008. After 2011,</w:t>
      </w:r>
      <w:r w:rsidRPr="00B661AB">
        <w:t xml:space="preserve"> a slight decrease in th</w:t>
      </w:r>
      <w:r w:rsidR="003349B5">
        <w:t>e number of overnight stays is</w:t>
      </w:r>
      <w:r w:rsidRPr="00B661AB">
        <w:t xml:space="preserve"> an indicator of the socio-economic situation and living standards in our country. Ho</w:t>
      </w:r>
      <w:r w:rsidR="00A34C82">
        <w:t>wever, statistics for 2016 shows</w:t>
      </w:r>
      <w:r w:rsidRPr="00B661AB">
        <w:t xml:space="preserve"> slight increase, which may be linked to the action of the Government of the Republic of Serbia </w:t>
      </w:r>
      <w:r w:rsidR="00A34C82">
        <w:t>giving</w:t>
      </w:r>
      <w:r w:rsidRPr="00B661AB">
        <w:t xml:space="preserve"> of vouchers for discount in the selection of Serbi</w:t>
      </w:r>
      <w:r w:rsidR="00A34C82">
        <w:t>a as a tourist destination for</w:t>
      </w:r>
      <w:r w:rsidRPr="00B661AB">
        <w:t xml:space="preserve"> holiday.</w:t>
      </w:r>
    </w:p>
    <w:p w:rsidR="003349B5" w:rsidRDefault="006219AB" w:rsidP="00E6788E">
      <w:pPr>
        <w:tabs>
          <w:tab w:val="left" w:pos="180"/>
        </w:tabs>
        <w:jc w:val="both"/>
      </w:pPr>
      <w:r w:rsidRPr="006219AB">
        <w:t>Charvat index for Badanja</w:t>
      </w:r>
      <w:r>
        <w:t xml:space="preserve"> Spa</w:t>
      </w:r>
      <w:r w:rsidRPr="006219AB">
        <w:t xml:space="preserve"> in 2016 recorded a growth of 1.5 times compared to 2014. Although </w:t>
      </w:r>
      <w:r>
        <w:t>the spa</w:t>
      </w:r>
      <w:r w:rsidRPr="006219AB">
        <w:t xml:space="preserve"> visitors continue to </w:t>
      </w:r>
      <w:r>
        <w:t xml:space="preserve">be </w:t>
      </w:r>
      <w:r w:rsidRPr="006219AB">
        <w:t>domestic tourists, the local community should devote significantly greater attention to its organization and thus better promote the tourism market. The sa</w:t>
      </w:r>
      <w:r>
        <w:t xml:space="preserve">me applies to </w:t>
      </w:r>
      <w:r w:rsidRPr="006219AB">
        <w:t>Radalj</w:t>
      </w:r>
      <w:r>
        <w:t xml:space="preserve"> Spa</w:t>
      </w:r>
      <w:r w:rsidRPr="006219AB">
        <w:t>, where Charvat index indicates that the number of overnight st</w:t>
      </w:r>
      <w:r>
        <w:t>ays in 2016 increased</w:t>
      </w:r>
      <w:r w:rsidRPr="006219AB">
        <w:t xml:space="preserve"> 14.8 times compared to 2007. </w:t>
      </w:r>
      <w:r>
        <w:t>In t</w:t>
      </w:r>
      <w:r w:rsidRPr="006219AB">
        <w:t xml:space="preserve">hese two spas </w:t>
      </w:r>
      <w:r>
        <w:t xml:space="preserve">is </w:t>
      </w:r>
      <w:r w:rsidRPr="006219AB">
        <w:t>necessary to organize infrastructure and engage</w:t>
      </w:r>
      <w:r>
        <w:t xml:space="preserve"> them</w:t>
      </w:r>
      <w:r w:rsidRPr="006219AB">
        <w:t xml:space="preserve"> in tourism offer at national, not just local level</w:t>
      </w:r>
      <w:r>
        <w:t>.</w:t>
      </w:r>
    </w:p>
    <w:p w:rsidR="00E6788E" w:rsidRPr="006219AB" w:rsidRDefault="006219AB" w:rsidP="00E6788E">
      <w:pPr>
        <w:tabs>
          <w:tab w:val="left" w:pos="180"/>
        </w:tabs>
        <w:jc w:val="both"/>
        <w:rPr>
          <w:rFonts w:ascii="Times New Roman" w:hAnsi="Times New Roman"/>
        </w:rPr>
      </w:pPr>
      <w:r w:rsidRPr="006219AB">
        <w:t>Schnaider index points to the</w:t>
      </w:r>
      <w:r w:rsidR="00D75839">
        <w:t xml:space="preserve"> total turnover of tourists at some</w:t>
      </w:r>
      <w:r w:rsidRPr="006219AB">
        <w:t xml:space="preserve"> destination or tourist site. The research results indicat</w:t>
      </w:r>
      <w:r w:rsidR="00012B60">
        <w:t>e that the highest turnover was</w:t>
      </w:r>
      <w:r>
        <w:t xml:space="preserve"> in </w:t>
      </w:r>
      <w:r w:rsidRPr="006219AB">
        <w:t>Kovilja</w:t>
      </w:r>
      <w:r>
        <w:t>č</w:t>
      </w:r>
      <w:r w:rsidRPr="006219AB">
        <w:t xml:space="preserve">a </w:t>
      </w:r>
      <w:r>
        <w:t xml:space="preserve">Spa </w:t>
      </w:r>
      <w:r w:rsidRPr="006219AB">
        <w:t xml:space="preserve">2016. In Badanja </w:t>
      </w:r>
      <w:r>
        <w:t xml:space="preserve">Spa </w:t>
      </w:r>
      <w:r w:rsidRPr="006219AB">
        <w:t xml:space="preserve">and Radalj </w:t>
      </w:r>
      <w:r>
        <w:t xml:space="preserve">Spa </w:t>
      </w:r>
      <w:r w:rsidRPr="006219AB">
        <w:t xml:space="preserve">tourist </w:t>
      </w:r>
      <w:r>
        <w:t>turnover</w:t>
      </w:r>
      <w:r w:rsidRPr="006219AB">
        <w:t xml:space="preserve"> growth </w:t>
      </w:r>
      <w:r w:rsidR="00D75839">
        <w:t>was</w:t>
      </w:r>
      <w:r w:rsidR="0023437D">
        <w:t xml:space="preserve"> </w:t>
      </w:r>
      <w:r w:rsidRPr="006219AB">
        <w:t xml:space="preserve">recorded in 2016. In Badanja </w:t>
      </w:r>
      <w:r w:rsidR="0023437D">
        <w:t xml:space="preserve">Spa </w:t>
      </w:r>
      <w:r w:rsidRPr="006219AB">
        <w:t>even 1.5 t</w:t>
      </w:r>
      <w:r w:rsidR="0023437D">
        <w:t xml:space="preserve">imes compared to 2014 and in </w:t>
      </w:r>
      <w:r w:rsidRPr="006219AB">
        <w:t xml:space="preserve">Radalj </w:t>
      </w:r>
      <w:r w:rsidR="0023437D">
        <w:t xml:space="preserve">Spa </w:t>
      </w:r>
      <w:r w:rsidRPr="006219AB">
        <w:t>13.7 times compared to 2007.</w:t>
      </w:r>
    </w:p>
    <w:p w:rsidR="00E6788E" w:rsidRDefault="00E6788E" w:rsidP="00E6788E">
      <w:pPr>
        <w:tabs>
          <w:tab w:val="left" w:pos="180"/>
        </w:tabs>
        <w:jc w:val="both"/>
        <w:rPr>
          <w:rFonts w:ascii="Times New Roman" w:hAnsi="Times New Roman"/>
        </w:rPr>
      </w:pPr>
    </w:p>
    <w:p w:rsidR="00E6788E" w:rsidRPr="00534F36" w:rsidRDefault="00E6788E" w:rsidP="00E6788E">
      <w:pPr>
        <w:tabs>
          <w:tab w:val="left" w:pos="180"/>
        </w:tabs>
        <w:jc w:val="center"/>
        <w:rPr>
          <w:rFonts w:ascii="Times New Roman" w:hAnsi="Times New Roman"/>
        </w:rPr>
      </w:pPr>
      <w:r>
        <w:rPr>
          <w:rFonts w:ascii="Times New Roman" w:hAnsi="Times New Roman"/>
          <w:b/>
        </w:rPr>
        <w:t>Table 6</w:t>
      </w:r>
      <w:r w:rsidRPr="00534F36">
        <w:rPr>
          <w:rFonts w:ascii="Times New Roman" w:hAnsi="Times New Roman"/>
          <w:b/>
        </w:rPr>
        <w:t>:</w:t>
      </w:r>
      <w:r>
        <w:rPr>
          <w:rFonts w:ascii="Times New Roman" w:hAnsi="Times New Roman"/>
          <w:b/>
        </w:rPr>
        <w:t xml:space="preserve"> </w:t>
      </w:r>
      <w:r>
        <w:rPr>
          <w:rFonts w:ascii="Times New Roman" w:hAnsi="Times New Roman"/>
        </w:rPr>
        <w:t>Schnaider index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282"/>
        <w:gridCol w:w="2282"/>
        <w:gridCol w:w="2282"/>
      </w:tblGrid>
      <w:tr w:rsidR="00E6788E" w:rsidRPr="00C65F85">
        <w:tc>
          <w:tcPr>
            <w:tcW w:w="1008" w:type="dxa"/>
            <w:vMerge w:val="restart"/>
            <w:shd w:val="clear" w:color="auto" w:fill="auto"/>
            <w:vAlign w:val="center"/>
          </w:tcPr>
          <w:p w:rsidR="00E6788E" w:rsidRPr="00C65F85" w:rsidRDefault="00E6788E" w:rsidP="0043348A">
            <w:pPr>
              <w:pStyle w:val="ListParagraph"/>
              <w:ind w:left="0"/>
              <w:jc w:val="center"/>
              <w:rPr>
                <w:rFonts w:ascii="Times New Roman" w:hAnsi="Times New Roman"/>
              </w:rPr>
            </w:pPr>
            <w:r>
              <w:rPr>
                <w:rFonts w:ascii="Times New Roman" w:hAnsi="Times New Roman"/>
              </w:rPr>
              <w:t>Year</w:t>
            </w:r>
          </w:p>
        </w:tc>
        <w:tc>
          <w:tcPr>
            <w:tcW w:w="6846" w:type="dxa"/>
            <w:gridSpan w:val="3"/>
            <w:shd w:val="clear" w:color="auto" w:fill="auto"/>
          </w:tcPr>
          <w:p w:rsidR="00E6788E" w:rsidRPr="00C65F85" w:rsidRDefault="00E6788E" w:rsidP="0043348A">
            <w:pPr>
              <w:pStyle w:val="ListParagraph"/>
              <w:ind w:left="0"/>
              <w:jc w:val="center"/>
              <w:rPr>
                <w:rFonts w:ascii="Times New Roman" w:hAnsi="Times New Roman"/>
              </w:rPr>
            </w:pPr>
            <w:r>
              <w:rPr>
                <w:rFonts w:ascii="Times New Roman" w:hAnsi="Times New Roman"/>
              </w:rPr>
              <w:t xml:space="preserve">Spa </w:t>
            </w:r>
          </w:p>
        </w:tc>
      </w:tr>
      <w:tr w:rsidR="00E6788E" w:rsidRPr="00C65F85">
        <w:tc>
          <w:tcPr>
            <w:tcW w:w="1008" w:type="dxa"/>
            <w:vMerge/>
            <w:shd w:val="clear" w:color="auto" w:fill="auto"/>
          </w:tcPr>
          <w:p w:rsidR="00E6788E" w:rsidRPr="00C65F85" w:rsidRDefault="00E6788E" w:rsidP="0043348A">
            <w:pPr>
              <w:pStyle w:val="ListParagraph"/>
              <w:ind w:left="0"/>
              <w:rPr>
                <w:rFonts w:ascii="Times New Roman" w:hAnsi="Times New Roman"/>
                <w:b/>
              </w:rPr>
            </w:pP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Koviljača</w:t>
            </w:r>
            <w:r>
              <w:rPr>
                <w:rFonts w:ascii="Times New Roman" w:hAnsi="Times New Roman"/>
              </w:rPr>
              <w:t xml:space="preserve"> Spa</w:t>
            </w: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Badanja</w:t>
            </w:r>
            <w:r>
              <w:rPr>
                <w:rFonts w:ascii="Times New Roman" w:hAnsi="Times New Roman"/>
              </w:rPr>
              <w:t xml:space="preserve"> Spa</w:t>
            </w:r>
          </w:p>
        </w:tc>
        <w:tc>
          <w:tcPr>
            <w:tcW w:w="2282" w:type="dxa"/>
            <w:shd w:val="clear" w:color="auto" w:fill="auto"/>
          </w:tcPr>
          <w:p w:rsidR="00E6788E" w:rsidRPr="00C65F85" w:rsidRDefault="00E6788E" w:rsidP="0043348A">
            <w:pPr>
              <w:pStyle w:val="ListParagraph"/>
              <w:ind w:left="0"/>
              <w:jc w:val="center"/>
              <w:rPr>
                <w:rFonts w:ascii="Times New Roman" w:hAnsi="Times New Roman"/>
              </w:rPr>
            </w:pPr>
            <w:r w:rsidRPr="00C65F85">
              <w:rPr>
                <w:rFonts w:ascii="Times New Roman" w:hAnsi="Times New Roman"/>
              </w:rPr>
              <w:t>Radalj</w:t>
            </w:r>
            <w:r>
              <w:rPr>
                <w:rFonts w:ascii="Times New Roman" w:hAnsi="Times New Roman"/>
              </w:rPr>
              <w:t xml:space="preserve"> Spa</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484,35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108,96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37,04</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311,73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130,19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2014</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307,93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71,31</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2013</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413,46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2012</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345,30</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2011</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418,54</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2010</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355,00</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2009</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314,95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378,08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2007</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356,48</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2,71</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2006</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318,71</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r w:rsidR="00E6788E" w:rsidRPr="00C65F85">
        <w:tc>
          <w:tcPr>
            <w:tcW w:w="1008"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2005</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332,00</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c>
          <w:tcPr>
            <w:tcW w:w="2282" w:type="dxa"/>
            <w:shd w:val="clear" w:color="auto" w:fill="auto"/>
          </w:tcPr>
          <w:p w:rsidR="00E6788E" w:rsidRPr="00C65F85" w:rsidRDefault="00E6788E" w:rsidP="0043348A">
            <w:pPr>
              <w:pStyle w:val="ListParagraph"/>
              <w:ind w:left="0"/>
              <w:rPr>
                <w:rFonts w:ascii="Times New Roman" w:hAnsi="Times New Roman"/>
              </w:rPr>
            </w:pPr>
            <w:r w:rsidRPr="00C65F85">
              <w:rPr>
                <w:rFonts w:ascii="Times New Roman" w:hAnsi="Times New Roman"/>
              </w:rPr>
              <w:t>/</w:t>
            </w:r>
          </w:p>
        </w:tc>
      </w:tr>
    </w:tbl>
    <w:p w:rsidR="00E6788E" w:rsidRDefault="00E6788E" w:rsidP="00E6788E">
      <w:pPr>
        <w:tabs>
          <w:tab w:val="left" w:pos="180"/>
        </w:tabs>
        <w:jc w:val="both"/>
        <w:rPr>
          <w:rFonts w:ascii="Times New Roman" w:hAnsi="Times New Roman"/>
        </w:rPr>
      </w:pPr>
      <w:r>
        <w:rPr>
          <w:rFonts w:ascii="Times New Roman" w:hAnsi="Times New Roman"/>
        </w:rPr>
        <w:t xml:space="preserve">            Source: Research results</w:t>
      </w:r>
    </w:p>
    <w:p w:rsidR="0033339A" w:rsidRDefault="0033339A" w:rsidP="00E6788E">
      <w:pPr>
        <w:tabs>
          <w:tab w:val="left" w:pos="180"/>
        </w:tabs>
        <w:jc w:val="both"/>
        <w:rPr>
          <w:rFonts w:ascii="Times New Roman" w:hAnsi="Times New Roman"/>
        </w:rPr>
      </w:pPr>
    </w:p>
    <w:p w:rsidR="00E6788E" w:rsidRDefault="0033339A" w:rsidP="00E6788E">
      <w:pPr>
        <w:tabs>
          <w:tab w:val="left" w:pos="180"/>
        </w:tabs>
        <w:jc w:val="both"/>
      </w:pPr>
      <w:r w:rsidRPr="0033339A">
        <w:t xml:space="preserve">Based on the statistical data presented in Table </w:t>
      </w:r>
      <w:r>
        <w:t>5, we can conclude that in</w:t>
      </w:r>
      <w:r w:rsidRPr="0033339A">
        <w:t xml:space="preserve"> Kovilja</w:t>
      </w:r>
      <w:r>
        <w:t>č</w:t>
      </w:r>
      <w:r w:rsidRPr="0033339A">
        <w:t xml:space="preserve">a </w:t>
      </w:r>
      <w:r w:rsidR="00047870">
        <w:t>Spa are expressed two maximum</w:t>
      </w:r>
      <w:r>
        <w:t xml:space="preserve"> </w:t>
      </w:r>
      <w:r w:rsidR="00D75839">
        <w:t xml:space="preserve">peaks </w:t>
      </w:r>
      <w:r>
        <w:t xml:space="preserve">of </w:t>
      </w:r>
      <w:r w:rsidRPr="0033339A">
        <w:t>tourist</w:t>
      </w:r>
      <w:r>
        <w:t xml:space="preserve"> turnover</w:t>
      </w:r>
      <w:r w:rsidRPr="0033339A">
        <w:t>. The first peak was achieved in 2016 and the second in 2011 and occurs as a result of economic recovery after the global economic crisis. The first peak is due to the recovery of the local eco</w:t>
      </w:r>
      <w:r w:rsidR="00D75839">
        <w:t>nomy and rising living standard</w:t>
      </w:r>
      <w:r w:rsidRPr="0033339A">
        <w:t xml:space="preserve"> in our country and the region. </w:t>
      </w:r>
      <w:r w:rsidR="00375CD9" w:rsidRPr="00375CD9">
        <w:t>It is also a</w:t>
      </w:r>
      <w:r w:rsidRPr="00375CD9">
        <w:t xml:space="preserve"> result </w:t>
      </w:r>
      <w:r w:rsidR="00375CD9" w:rsidRPr="00375CD9">
        <w:t xml:space="preserve">of numerous activities </w:t>
      </w:r>
      <w:r w:rsidRPr="00375CD9">
        <w:t xml:space="preserve">of the Government of Serbia, most notably the </w:t>
      </w:r>
      <w:r w:rsidRPr="00375CD9">
        <w:rPr>
          <w:rFonts w:ascii="Times New Roman" w:hAnsi="Times New Roman"/>
        </w:rPr>
        <w:t>“</w:t>
      </w:r>
      <w:r w:rsidRPr="00375CD9">
        <w:t>Vouchers for holidays in Serbia</w:t>
      </w:r>
      <w:r w:rsidRPr="00375CD9">
        <w:rPr>
          <w:rFonts w:ascii="Times New Roman" w:hAnsi="Times New Roman"/>
        </w:rPr>
        <w:t>”</w:t>
      </w:r>
      <w:r w:rsidRPr="00375CD9">
        <w:t>.</w:t>
      </w:r>
    </w:p>
    <w:p w:rsidR="0033339A" w:rsidRPr="0033339A" w:rsidRDefault="0033339A" w:rsidP="00E6788E">
      <w:pPr>
        <w:tabs>
          <w:tab w:val="left" w:pos="180"/>
        </w:tabs>
        <w:jc w:val="both"/>
        <w:rPr>
          <w:rFonts w:ascii="Times New Roman" w:hAnsi="Times New Roman"/>
        </w:rPr>
      </w:pPr>
    </w:p>
    <w:p w:rsidR="0033339A" w:rsidRPr="007D52C7" w:rsidRDefault="0033339A" w:rsidP="0033339A">
      <w:pPr>
        <w:pStyle w:val="ListParagraph"/>
        <w:ind w:left="0"/>
        <w:rPr>
          <w:rFonts w:ascii="Times New Roman" w:hAnsi="Times New Roman"/>
        </w:rPr>
      </w:pPr>
    </w:p>
    <w:p w:rsidR="0033339A" w:rsidRDefault="0033339A" w:rsidP="0033339A">
      <w:pPr>
        <w:numPr>
          <w:ilvl w:val="0"/>
          <w:numId w:val="2"/>
        </w:numPr>
        <w:tabs>
          <w:tab w:val="left" w:pos="180"/>
        </w:tabs>
        <w:rPr>
          <w:rFonts w:ascii="Times New Roman" w:hAnsi="Times New Roman"/>
          <w:b/>
          <w:sz w:val="22"/>
          <w:szCs w:val="22"/>
        </w:rPr>
      </w:pPr>
      <w:r w:rsidRPr="009F403C">
        <w:rPr>
          <w:rFonts w:ascii="Times New Roman" w:hAnsi="Times New Roman"/>
          <w:b/>
        </w:rPr>
        <w:t xml:space="preserve"> </w:t>
      </w:r>
      <w:r w:rsidR="00047870">
        <w:rPr>
          <w:rFonts w:ascii="Times New Roman" w:hAnsi="Times New Roman"/>
          <w:b/>
          <w:sz w:val="22"/>
          <w:szCs w:val="22"/>
        </w:rPr>
        <w:t>CONCLUSION</w:t>
      </w:r>
      <w:r w:rsidR="00ED0A88">
        <w:rPr>
          <w:rFonts w:ascii="Times New Roman" w:hAnsi="Times New Roman"/>
          <w:b/>
          <w:sz w:val="22"/>
          <w:szCs w:val="22"/>
        </w:rPr>
        <w:t xml:space="preserve"> </w:t>
      </w:r>
    </w:p>
    <w:p w:rsidR="0033339A" w:rsidRDefault="0033339A" w:rsidP="0033339A">
      <w:pPr>
        <w:tabs>
          <w:tab w:val="left" w:pos="180"/>
        </w:tabs>
        <w:rPr>
          <w:rFonts w:ascii="Times New Roman" w:hAnsi="Times New Roman"/>
          <w:b/>
          <w:sz w:val="22"/>
          <w:szCs w:val="22"/>
        </w:rPr>
      </w:pPr>
    </w:p>
    <w:p w:rsidR="00860A25" w:rsidRPr="00860A25" w:rsidRDefault="00860A25" w:rsidP="00860A25">
      <w:pPr>
        <w:tabs>
          <w:tab w:val="left" w:pos="180"/>
        </w:tabs>
        <w:jc w:val="both"/>
      </w:pPr>
      <w:r w:rsidRPr="00860A25">
        <w:t>The development of spa c</w:t>
      </w:r>
      <w:r>
        <w:t>enters in the Donje Podrinje</w:t>
      </w:r>
      <w:r w:rsidRPr="00860A25">
        <w:t xml:space="preserve"> has a long tradition based on the use of mineral springs. Despite the significant capabilities of a</w:t>
      </w:r>
      <w:r w:rsidR="00D75839">
        <w:t>ll three spa centes</w:t>
      </w:r>
      <w:r>
        <w:t xml:space="preserve"> only </w:t>
      </w:r>
      <w:r w:rsidRPr="00860A25">
        <w:t xml:space="preserve">Koviljača </w:t>
      </w:r>
      <w:r>
        <w:t xml:space="preserve">Spa </w:t>
      </w:r>
      <w:r w:rsidRPr="00860A25">
        <w:t>use</w:t>
      </w:r>
      <w:r>
        <w:t>d</w:t>
      </w:r>
      <w:r w:rsidRPr="00860A25">
        <w:t xml:space="preserve"> its natural resources and</w:t>
      </w:r>
      <w:r>
        <w:t xml:space="preserve"> is</w:t>
      </w:r>
      <w:r w:rsidRPr="00860A25">
        <w:t xml:space="preserve"> affirmed in the tourism market. Badanja </w:t>
      </w:r>
      <w:r>
        <w:t xml:space="preserve">Spa </w:t>
      </w:r>
      <w:r w:rsidRPr="00860A25">
        <w:t>and Radalj</w:t>
      </w:r>
      <w:r w:rsidR="00D75839">
        <w:t xml:space="preserve"> </w:t>
      </w:r>
      <w:r>
        <w:t xml:space="preserve">Spa </w:t>
      </w:r>
      <w:r w:rsidRPr="00860A25">
        <w:t xml:space="preserve">are still unrecognized and less known on the tourist market. </w:t>
      </w:r>
      <w:r>
        <w:t xml:space="preserve">Tourist offer of </w:t>
      </w:r>
      <w:r w:rsidRPr="00860A25">
        <w:t>Badanja</w:t>
      </w:r>
      <w:r>
        <w:t xml:space="preserve"> Spa is complementary and not</w:t>
      </w:r>
      <w:r w:rsidRPr="00860A25">
        <w:t xml:space="preserve"> competitive </w:t>
      </w:r>
      <w:r>
        <w:t xml:space="preserve">to nearby </w:t>
      </w:r>
      <w:r w:rsidRPr="00860A25">
        <w:t>Kovilja</w:t>
      </w:r>
      <w:r>
        <w:t>č</w:t>
      </w:r>
      <w:r w:rsidRPr="00860A25">
        <w:t>a</w:t>
      </w:r>
      <w:r>
        <w:t xml:space="preserve"> Spa</w:t>
      </w:r>
      <w:r w:rsidRPr="00860A25">
        <w:t>, and develops in</w:t>
      </w:r>
      <w:r>
        <w:t xml:space="preserve"> its shadow. Investing in </w:t>
      </w:r>
      <w:r w:rsidRPr="00860A25">
        <w:t xml:space="preserve">Radalj </w:t>
      </w:r>
      <w:r>
        <w:t xml:space="preserve">Spa </w:t>
      </w:r>
      <w:r w:rsidRPr="00860A25">
        <w:t>significant economic effects, important for the local community</w:t>
      </w:r>
      <w:r w:rsidR="00D75839">
        <w:t xml:space="preserve"> </w:t>
      </w:r>
      <w:r w:rsidR="00D75839" w:rsidRPr="00860A25">
        <w:t xml:space="preserve">can </w:t>
      </w:r>
      <w:r w:rsidR="00D75839">
        <w:t xml:space="preserve">be </w:t>
      </w:r>
      <w:r w:rsidR="00D75839" w:rsidRPr="00860A25">
        <w:t>achieve</w:t>
      </w:r>
      <w:r w:rsidR="00D75839">
        <w:t>d</w:t>
      </w:r>
      <w:r w:rsidRPr="00860A25">
        <w:t xml:space="preserve">. </w:t>
      </w:r>
      <w:r w:rsidR="00D75839">
        <w:t>That</w:t>
      </w:r>
      <w:r w:rsidR="00D75839">
        <w:rPr>
          <w:rFonts w:ascii="Times New Roman" w:hAnsi="Times New Roman"/>
        </w:rPr>
        <w:t>’</w:t>
      </w:r>
      <w:r w:rsidR="00D75839">
        <w:t>s way</w:t>
      </w:r>
      <w:r w:rsidRPr="00860A25">
        <w:t xml:space="preserve"> it is essential that local communities, in cooperation with relevant institutions, pay attention to the arrangement of these spas. It is necessary to improve and modernize tourism infrastructur</w:t>
      </w:r>
      <w:r w:rsidR="00D75839">
        <w:t>e and superstructure, but also</w:t>
      </w:r>
      <w:r w:rsidRPr="00860A25">
        <w:t xml:space="preserve"> number of marketing activities to present the potential of the spas on the </w:t>
      </w:r>
      <w:r>
        <w:t xml:space="preserve">tourist </w:t>
      </w:r>
      <w:r w:rsidRPr="00860A25">
        <w:t>market.</w:t>
      </w:r>
    </w:p>
    <w:p w:rsidR="00860A25" w:rsidRPr="000B0E4B" w:rsidRDefault="00860A25" w:rsidP="0033339A">
      <w:pPr>
        <w:tabs>
          <w:tab w:val="left" w:pos="180"/>
        </w:tabs>
        <w:rPr>
          <w:rFonts w:ascii="Times New Roman" w:hAnsi="Times New Roman"/>
          <w:b/>
          <w:sz w:val="22"/>
          <w:szCs w:val="22"/>
        </w:rPr>
      </w:pPr>
    </w:p>
    <w:p w:rsidR="00E6788E" w:rsidRPr="000E1931" w:rsidRDefault="00E6788E" w:rsidP="00210CC8">
      <w:pPr>
        <w:pStyle w:val="BodyText"/>
        <w:rPr>
          <w:sz w:val="20"/>
          <w:szCs w:val="20"/>
        </w:rPr>
      </w:pPr>
    </w:p>
    <w:p w:rsidR="000A393F" w:rsidRPr="000B0E4B" w:rsidRDefault="00ED0A88" w:rsidP="000A393F">
      <w:pPr>
        <w:rPr>
          <w:rFonts w:ascii="Times New Roman" w:hAnsi="Times New Roman"/>
          <w:b/>
          <w:sz w:val="22"/>
          <w:szCs w:val="22"/>
        </w:rPr>
      </w:pPr>
      <w:r>
        <w:rPr>
          <w:rFonts w:ascii="Times New Roman" w:hAnsi="Times New Roman"/>
          <w:b/>
          <w:sz w:val="22"/>
          <w:szCs w:val="22"/>
        </w:rPr>
        <w:t>REFERENCES</w:t>
      </w:r>
    </w:p>
    <w:p w:rsidR="000A393F" w:rsidRPr="009F403C" w:rsidRDefault="000A393F" w:rsidP="000A393F">
      <w:pPr>
        <w:jc w:val="center"/>
        <w:rPr>
          <w:rFonts w:ascii="Times New Roman" w:hAnsi="Times New Roman"/>
          <w:b/>
        </w:rPr>
      </w:pPr>
    </w:p>
    <w:p w:rsidR="000A393F" w:rsidRDefault="000A393F" w:rsidP="000A393F">
      <w:pPr>
        <w:pStyle w:val="BodyText"/>
        <w:rPr>
          <w:sz w:val="20"/>
          <w:szCs w:val="20"/>
        </w:rPr>
      </w:pPr>
      <w:r w:rsidRPr="009F403C">
        <w:rPr>
          <w:sz w:val="20"/>
          <w:szCs w:val="20"/>
        </w:rPr>
        <w:t xml:space="preserve">[1] GRUPA AUTORA: </w:t>
      </w:r>
      <w:r w:rsidRPr="009F403C">
        <w:rPr>
          <w:i/>
          <w:sz w:val="20"/>
          <w:szCs w:val="20"/>
        </w:rPr>
        <w:t>Drina</w:t>
      </w:r>
      <w:r w:rsidRPr="009F403C">
        <w:rPr>
          <w:sz w:val="20"/>
          <w:szCs w:val="20"/>
        </w:rPr>
        <w:t>, Zavod za udžbenike i nastavna sredstva, Beograd, 2005.</w:t>
      </w:r>
    </w:p>
    <w:p w:rsidR="000A393F" w:rsidRPr="005B3C13" w:rsidRDefault="000A393F" w:rsidP="000A393F">
      <w:pPr>
        <w:pStyle w:val="BodyText"/>
        <w:ind w:left="270" w:hanging="270"/>
        <w:rPr>
          <w:sz w:val="20"/>
          <w:szCs w:val="20"/>
        </w:rPr>
      </w:pPr>
      <w:r w:rsidRPr="00083E9A">
        <w:rPr>
          <w:sz w:val="20"/>
          <w:szCs w:val="20"/>
        </w:rPr>
        <w:t>[2]</w:t>
      </w:r>
      <w:r>
        <w:rPr>
          <w:sz w:val="20"/>
          <w:szCs w:val="20"/>
        </w:rPr>
        <w:t xml:space="preserve"> Stepić, M: </w:t>
      </w:r>
      <w:r w:rsidRPr="005B3C13">
        <w:rPr>
          <w:i/>
          <w:sz w:val="20"/>
          <w:szCs w:val="20"/>
        </w:rPr>
        <w:t>Podrinje – od pogranične regije do potencijalne osovine razvoja.</w:t>
      </w:r>
      <w:r>
        <w:rPr>
          <w:sz w:val="20"/>
          <w:szCs w:val="20"/>
        </w:rPr>
        <w:t xml:space="preserve"> Glasnik Srpskog geografskog društva, Beograd, 1995.</w:t>
      </w:r>
    </w:p>
    <w:p w:rsidR="000A393F" w:rsidRPr="009F403C" w:rsidRDefault="000A393F" w:rsidP="000A393F">
      <w:pPr>
        <w:pStyle w:val="BodyText"/>
        <w:ind w:left="270" w:hanging="270"/>
        <w:rPr>
          <w:sz w:val="20"/>
          <w:szCs w:val="20"/>
        </w:rPr>
      </w:pPr>
      <w:r>
        <w:rPr>
          <w:sz w:val="20"/>
          <w:szCs w:val="20"/>
        </w:rPr>
        <w:t>[3</w:t>
      </w:r>
      <w:r w:rsidRPr="009F403C">
        <w:rPr>
          <w:sz w:val="20"/>
          <w:szCs w:val="20"/>
        </w:rPr>
        <w:t>]</w:t>
      </w:r>
      <w:r>
        <w:rPr>
          <w:sz w:val="20"/>
          <w:szCs w:val="20"/>
        </w:rPr>
        <w:t xml:space="preserve"> Šećerov, V: </w:t>
      </w:r>
      <w:r w:rsidRPr="00AD77E8">
        <w:rPr>
          <w:i/>
          <w:sz w:val="20"/>
          <w:szCs w:val="20"/>
        </w:rPr>
        <w:t>Planiranje prostornog razvoja turizma na primeru prostornog plana opštine Subotica.</w:t>
      </w:r>
      <w:r>
        <w:rPr>
          <w:sz w:val="20"/>
          <w:szCs w:val="20"/>
        </w:rPr>
        <w:t xml:space="preserve"> Glasnik Srpskog geografskog društva, Beograd, 2010.</w:t>
      </w:r>
    </w:p>
    <w:p w:rsidR="000A393F" w:rsidRPr="009F403C" w:rsidRDefault="000A393F" w:rsidP="000A393F">
      <w:pPr>
        <w:pStyle w:val="BodyText"/>
        <w:ind w:left="270" w:hanging="270"/>
        <w:rPr>
          <w:sz w:val="20"/>
          <w:szCs w:val="20"/>
        </w:rPr>
      </w:pPr>
      <w:r w:rsidRPr="009F403C">
        <w:rPr>
          <w:sz w:val="20"/>
          <w:szCs w:val="20"/>
        </w:rPr>
        <w:t>[</w:t>
      </w:r>
      <w:r>
        <w:rPr>
          <w:sz w:val="20"/>
          <w:szCs w:val="20"/>
        </w:rPr>
        <w:t>4</w:t>
      </w:r>
      <w:r w:rsidRPr="009F403C">
        <w:rPr>
          <w:sz w:val="20"/>
          <w:szCs w:val="20"/>
        </w:rPr>
        <w:t>] GRUPA AUTORA:</w:t>
      </w:r>
      <w:r w:rsidRPr="009F403C">
        <w:rPr>
          <w:b/>
          <w:sz w:val="20"/>
          <w:szCs w:val="20"/>
          <w:lang w:val="sr-Cyrl-CS"/>
        </w:rPr>
        <w:t xml:space="preserve"> </w:t>
      </w:r>
      <w:r w:rsidRPr="00AD77E8">
        <w:rPr>
          <w:i/>
          <w:sz w:val="20"/>
          <w:szCs w:val="20"/>
        </w:rPr>
        <w:t>Program razvoja Podrinja</w:t>
      </w:r>
      <w:r w:rsidRPr="009F403C">
        <w:rPr>
          <w:sz w:val="20"/>
          <w:szCs w:val="20"/>
        </w:rPr>
        <w:t>. Ministarstvo privrede Republike Srbije i Ekonomski institut Republike Srpske, Beograd, 2015., Aveliable at:</w:t>
      </w:r>
      <w:r w:rsidRPr="009F403C">
        <w:rPr>
          <w:sz w:val="20"/>
          <w:szCs w:val="20"/>
          <w:lang w:val="sr-Cyrl-CS"/>
        </w:rPr>
        <w:t xml:space="preserve"> </w:t>
      </w:r>
    </w:p>
    <w:p w:rsidR="000A393F" w:rsidRDefault="00114A9C" w:rsidP="000A393F">
      <w:pPr>
        <w:pStyle w:val="BodyText"/>
        <w:ind w:left="180"/>
        <w:rPr>
          <w:rStyle w:val="Hyperlink"/>
          <w:sz w:val="20"/>
          <w:szCs w:val="20"/>
        </w:rPr>
      </w:pPr>
      <w:hyperlink r:id="rId16" w:history="1">
        <w:r w:rsidR="000A393F" w:rsidRPr="009F403C">
          <w:rPr>
            <w:rStyle w:val="Hyperlink"/>
            <w:sz w:val="20"/>
            <w:szCs w:val="20"/>
            <w:lang w:val="sr-Cyrl-CS"/>
          </w:rPr>
          <w:t>http://www</w:t>
        </w:r>
      </w:hyperlink>
      <w:r w:rsidR="000A393F" w:rsidRPr="009F403C">
        <w:rPr>
          <w:sz w:val="20"/>
          <w:szCs w:val="20"/>
          <w:lang w:val="sr-Cyrl-CS"/>
        </w:rPr>
        <w:t>.</w:t>
      </w:r>
      <w:r w:rsidR="000A393F" w:rsidRPr="009F403C">
        <w:rPr>
          <w:rStyle w:val="Hyperlink"/>
          <w:sz w:val="20"/>
          <w:szCs w:val="20"/>
        </w:rPr>
        <w:t>graduzice.org/documents/ 3_program_razvoja_podrinja_1519.pdf.</w:t>
      </w:r>
    </w:p>
    <w:p w:rsidR="000A393F" w:rsidRPr="009F403C" w:rsidRDefault="000A393F" w:rsidP="000A393F">
      <w:pPr>
        <w:pStyle w:val="BodyText"/>
        <w:ind w:left="180" w:hanging="180"/>
        <w:rPr>
          <w:sz w:val="20"/>
          <w:szCs w:val="20"/>
        </w:rPr>
      </w:pPr>
      <w:r w:rsidRPr="00EA1EC1">
        <w:rPr>
          <w:sz w:val="20"/>
          <w:szCs w:val="20"/>
        </w:rPr>
        <w:t>[5]</w:t>
      </w:r>
      <w:r w:rsidRPr="009F403C">
        <w:rPr>
          <w:sz w:val="20"/>
          <w:szCs w:val="20"/>
        </w:rPr>
        <w:t xml:space="preserve"> TODOROVIĆ, T.: </w:t>
      </w:r>
      <w:r w:rsidRPr="009F403C">
        <w:rPr>
          <w:i/>
          <w:sz w:val="20"/>
          <w:szCs w:val="20"/>
        </w:rPr>
        <w:t>Zdravstveni i ostali vidovi turizma kao potencijal razvoja pojedinih pograničnih krajeva Srbije,</w:t>
      </w:r>
      <w:r w:rsidRPr="009F403C">
        <w:rPr>
          <w:sz w:val="20"/>
          <w:szCs w:val="20"/>
        </w:rPr>
        <w:t xml:space="preserve"> Zbornik radova Planiranje uređenje i zaštita banjskih i klimatskih mesta Srbije, Asocijacija prostornih planera Srbije, Geografski fakultet Beograd, Beograd, 2006.</w:t>
      </w:r>
    </w:p>
    <w:p w:rsidR="000A393F" w:rsidRDefault="000A393F" w:rsidP="000A393F">
      <w:pPr>
        <w:jc w:val="both"/>
        <w:rPr>
          <w:rFonts w:ascii="Times New Roman" w:hAnsi="Times New Roman"/>
        </w:rPr>
      </w:pPr>
      <w:r w:rsidRPr="009F403C">
        <w:rPr>
          <w:rFonts w:ascii="Times New Roman" w:hAnsi="Times New Roman"/>
        </w:rPr>
        <w:t>[</w:t>
      </w:r>
      <w:r>
        <w:rPr>
          <w:rFonts w:ascii="Times New Roman" w:hAnsi="Times New Roman"/>
        </w:rPr>
        <w:t>6</w:t>
      </w:r>
      <w:r w:rsidRPr="009F403C">
        <w:rPr>
          <w:rFonts w:ascii="Times New Roman" w:hAnsi="Times New Roman"/>
        </w:rPr>
        <w:t xml:space="preserve">] STANKOVIĆ, S.: </w:t>
      </w:r>
      <w:r w:rsidRPr="009F403C">
        <w:rPr>
          <w:rFonts w:ascii="Times New Roman" w:hAnsi="Times New Roman"/>
          <w:i/>
        </w:rPr>
        <w:t>Banje Srbije</w:t>
      </w:r>
      <w:r w:rsidRPr="009F403C">
        <w:rPr>
          <w:rFonts w:ascii="Times New Roman" w:hAnsi="Times New Roman"/>
        </w:rPr>
        <w:t>,</w:t>
      </w:r>
      <w:r w:rsidRPr="009F403C">
        <w:rPr>
          <w:rFonts w:ascii="Times New Roman" w:hAnsi="Times New Roman"/>
          <w:i/>
        </w:rPr>
        <w:t xml:space="preserve"> </w:t>
      </w:r>
      <w:r w:rsidRPr="009F403C">
        <w:rPr>
          <w:rFonts w:ascii="Times New Roman" w:hAnsi="Times New Roman"/>
        </w:rPr>
        <w:t>Zavod za udžbenike i nastavna sredstva, Beograd, 2009.</w:t>
      </w:r>
    </w:p>
    <w:p w:rsidR="000A393F" w:rsidRPr="009F403C" w:rsidRDefault="000A393F" w:rsidP="000A393F">
      <w:pPr>
        <w:jc w:val="both"/>
        <w:rPr>
          <w:rFonts w:ascii="Times New Roman" w:hAnsi="Times New Roman"/>
        </w:rPr>
      </w:pPr>
      <w:r w:rsidRPr="009F403C">
        <w:rPr>
          <w:rFonts w:ascii="Times New Roman" w:hAnsi="Times New Roman"/>
        </w:rPr>
        <w:t>[</w:t>
      </w:r>
      <w:r>
        <w:rPr>
          <w:rFonts w:ascii="Times New Roman" w:hAnsi="Times New Roman"/>
        </w:rPr>
        <w:t>7</w:t>
      </w:r>
      <w:r w:rsidRPr="009F403C">
        <w:rPr>
          <w:rFonts w:ascii="Times New Roman" w:hAnsi="Times New Roman"/>
        </w:rPr>
        <w:t xml:space="preserve">] MILIĆEVIĆ, R.: </w:t>
      </w:r>
      <w:r w:rsidRPr="009F403C">
        <w:rPr>
          <w:rFonts w:ascii="Times New Roman" w:hAnsi="Times New Roman"/>
          <w:i/>
        </w:rPr>
        <w:t>Zdravstveni turizam na prostoru mačvanskog okruga</w:t>
      </w:r>
      <w:r w:rsidRPr="009F403C">
        <w:rPr>
          <w:rFonts w:ascii="Times New Roman" w:hAnsi="Times New Roman"/>
        </w:rPr>
        <w:t>, Industrija, Beograd, 2011.</w:t>
      </w:r>
    </w:p>
    <w:p w:rsidR="000A393F" w:rsidRDefault="000A393F" w:rsidP="000A393F">
      <w:pPr>
        <w:ind w:left="270" w:hanging="270"/>
        <w:jc w:val="both"/>
        <w:rPr>
          <w:rFonts w:ascii="Times New Roman" w:hAnsi="Times New Roman"/>
        </w:rPr>
      </w:pPr>
      <w:r w:rsidRPr="009F403C">
        <w:rPr>
          <w:rFonts w:ascii="Times New Roman" w:hAnsi="Times New Roman"/>
        </w:rPr>
        <w:t>[</w:t>
      </w:r>
      <w:r>
        <w:rPr>
          <w:rFonts w:ascii="Times New Roman" w:hAnsi="Times New Roman"/>
        </w:rPr>
        <w:t>8</w:t>
      </w:r>
      <w:r w:rsidRPr="009F403C">
        <w:rPr>
          <w:rFonts w:ascii="Times New Roman" w:hAnsi="Times New Roman"/>
        </w:rPr>
        <w:t xml:space="preserve">] GAJIĆ, M.; VUJADINOVIĆ, S.: </w:t>
      </w:r>
      <w:r w:rsidRPr="009F403C">
        <w:rPr>
          <w:rFonts w:ascii="Times New Roman" w:hAnsi="Times New Roman"/>
          <w:i/>
        </w:rPr>
        <w:t>Stanje i perspektive razvoja banjskog turizma na prostoru Jadra</w:t>
      </w:r>
      <w:r w:rsidRPr="009F403C">
        <w:rPr>
          <w:rFonts w:ascii="Times New Roman" w:hAnsi="Times New Roman"/>
        </w:rPr>
        <w:t>, Glasnik Srpskog geografskog društva, Beograd, 2010.</w:t>
      </w:r>
    </w:p>
    <w:p w:rsidR="000A393F" w:rsidRDefault="000A393F" w:rsidP="000A393F">
      <w:pPr>
        <w:pStyle w:val="BodyText"/>
        <w:rPr>
          <w:sz w:val="20"/>
          <w:szCs w:val="20"/>
        </w:rPr>
      </w:pPr>
      <w:r w:rsidRPr="009F403C">
        <w:rPr>
          <w:sz w:val="20"/>
          <w:szCs w:val="20"/>
        </w:rPr>
        <w:t>[</w:t>
      </w:r>
      <w:r>
        <w:rPr>
          <w:sz w:val="20"/>
          <w:szCs w:val="20"/>
        </w:rPr>
        <w:t>9</w:t>
      </w:r>
      <w:r w:rsidRPr="009F403C">
        <w:rPr>
          <w:sz w:val="20"/>
          <w:szCs w:val="20"/>
        </w:rPr>
        <w:t xml:space="preserve">] BUBREŠKO, Z.: </w:t>
      </w:r>
      <w:r w:rsidRPr="009F403C">
        <w:rPr>
          <w:i/>
          <w:sz w:val="20"/>
          <w:szCs w:val="20"/>
        </w:rPr>
        <w:t>Kraljevske banje Srbije,</w:t>
      </w:r>
      <w:r w:rsidRPr="009F403C">
        <w:rPr>
          <w:sz w:val="20"/>
          <w:szCs w:val="20"/>
        </w:rPr>
        <w:t xml:space="preserve"> „Gastro print” d.o.o., Beograd, 2009.</w:t>
      </w:r>
    </w:p>
    <w:p w:rsidR="000A393F" w:rsidRDefault="000A393F" w:rsidP="000A393F">
      <w:pPr>
        <w:pStyle w:val="BodyText"/>
        <w:ind w:left="180" w:hanging="180"/>
        <w:rPr>
          <w:sz w:val="20"/>
          <w:szCs w:val="20"/>
        </w:rPr>
      </w:pPr>
      <w:r>
        <w:rPr>
          <w:sz w:val="20"/>
          <w:szCs w:val="20"/>
        </w:rPr>
        <w:t>[10</w:t>
      </w:r>
      <w:r w:rsidRPr="00757831">
        <w:rPr>
          <w:sz w:val="20"/>
          <w:szCs w:val="20"/>
        </w:rPr>
        <w:t>]</w:t>
      </w:r>
      <w:r w:rsidRPr="009F403C">
        <w:rPr>
          <w:sz w:val="20"/>
          <w:szCs w:val="20"/>
        </w:rPr>
        <w:t xml:space="preserve"> STANKOVIĆ, S.; JOVANOVIĆ, V.: </w:t>
      </w:r>
      <w:r w:rsidRPr="009F403C">
        <w:rPr>
          <w:i/>
          <w:sz w:val="20"/>
          <w:szCs w:val="20"/>
        </w:rPr>
        <w:t>Banje Srbije i njihov značaj za turizam,</w:t>
      </w:r>
      <w:r w:rsidRPr="009F403C">
        <w:rPr>
          <w:sz w:val="20"/>
          <w:szCs w:val="20"/>
        </w:rPr>
        <w:t xml:space="preserve"> Zbornik radova Planiranje uređenje i zaštita banjskih i klimatskih mesta Srbije, Asocijacija prostornih planera Srbije, Geografski fakultet Beograd, Beograd, 2006.</w:t>
      </w:r>
    </w:p>
    <w:p w:rsidR="000A393F" w:rsidRPr="0086224F" w:rsidRDefault="000A393F" w:rsidP="000A393F">
      <w:pPr>
        <w:pStyle w:val="BodyText"/>
        <w:ind w:left="180" w:hanging="180"/>
        <w:rPr>
          <w:sz w:val="20"/>
          <w:szCs w:val="20"/>
        </w:rPr>
      </w:pPr>
      <w:r>
        <w:rPr>
          <w:sz w:val="20"/>
          <w:szCs w:val="20"/>
        </w:rPr>
        <w:t xml:space="preserve">[11] KRSMANOVIĆ, S.; PERIĆ, M.; MARKOVIĆ, S.: </w:t>
      </w:r>
      <w:r w:rsidRPr="00643194">
        <w:rPr>
          <w:i/>
          <w:sz w:val="20"/>
          <w:szCs w:val="20"/>
        </w:rPr>
        <w:t xml:space="preserve">Tourism as factor of development of Banja Koviljača spa. </w:t>
      </w:r>
      <w:r>
        <w:rPr>
          <w:sz w:val="20"/>
          <w:szCs w:val="20"/>
        </w:rPr>
        <w:t>Conference Proceedings of 3</w:t>
      </w:r>
      <w:r>
        <w:rPr>
          <w:sz w:val="20"/>
          <w:szCs w:val="20"/>
          <w:vertAlign w:val="superscript"/>
        </w:rPr>
        <w:t xml:space="preserve">rd </w:t>
      </w:r>
      <w:r>
        <w:rPr>
          <w:sz w:val="20"/>
          <w:szCs w:val="20"/>
        </w:rPr>
        <w:t>International Conference „Higher Education in Function of sustainable evelopment of Tourism in Serbia and Western Balkans“, Business and Technical College of Vocational Studies, Užice, 2016.</w:t>
      </w:r>
    </w:p>
    <w:p w:rsidR="000A393F" w:rsidRDefault="000A393F" w:rsidP="000A393F">
      <w:pPr>
        <w:ind w:left="270" w:hanging="270"/>
        <w:jc w:val="both"/>
        <w:rPr>
          <w:rFonts w:ascii="Times New Roman" w:hAnsi="Times New Roman"/>
        </w:rPr>
      </w:pPr>
      <w:r w:rsidRPr="009F403C">
        <w:rPr>
          <w:rFonts w:ascii="Times New Roman" w:hAnsi="Times New Roman"/>
        </w:rPr>
        <w:t>[</w:t>
      </w:r>
      <w:r>
        <w:rPr>
          <w:rFonts w:ascii="Times New Roman" w:hAnsi="Times New Roman"/>
        </w:rPr>
        <w:t>12</w:t>
      </w:r>
      <w:r w:rsidRPr="009F403C">
        <w:rPr>
          <w:rFonts w:ascii="Times New Roman" w:hAnsi="Times New Roman"/>
        </w:rPr>
        <w:t xml:space="preserve">] GRČIĆ, M.; GRČIĆ, LJ.: </w:t>
      </w:r>
      <w:r w:rsidRPr="009F403C">
        <w:rPr>
          <w:rFonts w:ascii="Times New Roman" w:hAnsi="Times New Roman"/>
          <w:i/>
        </w:rPr>
        <w:t>Potencijali za razvoj banjskog turizma u području planine Cer (Zapadna Srbija),</w:t>
      </w:r>
      <w:r w:rsidRPr="009F403C">
        <w:rPr>
          <w:rFonts w:ascii="Times New Roman" w:hAnsi="Times New Roman"/>
        </w:rPr>
        <w:t xml:space="preserve"> Glasnik Srpskog geografskog društva, Beograd, 2006.</w:t>
      </w:r>
      <w:r>
        <w:rPr>
          <w:rFonts w:ascii="Times New Roman" w:hAnsi="Times New Roman"/>
        </w:rPr>
        <w:t xml:space="preserve"> </w:t>
      </w:r>
    </w:p>
    <w:p w:rsidR="000A393F" w:rsidRDefault="000A393F" w:rsidP="000A393F">
      <w:pPr>
        <w:ind w:left="270" w:hanging="270"/>
        <w:jc w:val="both"/>
      </w:pPr>
      <w:r w:rsidRPr="009F403C">
        <w:rPr>
          <w:rFonts w:ascii="Times New Roman" w:hAnsi="Times New Roman"/>
        </w:rPr>
        <w:t>[</w:t>
      </w:r>
      <w:r>
        <w:t>13</w:t>
      </w:r>
      <w:r w:rsidRPr="009F403C">
        <w:rPr>
          <w:rFonts w:ascii="Times New Roman" w:hAnsi="Times New Roman"/>
        </w:rPr>
        <w:t xml:space="preserve">] </w:t>
      </w:r>
      <w:r>
        <w:rPr>
          <w:rFonts w:ascii="Times New Roman" w:hAnsi="Times New Roman"/>
        </w:rPr>
        <w:t xml:space="preserve">BORZYSZKOWSKI, J.; </w:t>
      </w:r>
      <w:r w:rsidRPr="00671194">
        <w:t>M</w:t>
      </w:r>
      <w:r>
        <w:t>ARCZAK</w:t>
      </w:r>
      <w:r w:rsidRPr="00671194">
        <w:t>, M.</w:t>
      </w:r>
      <w:r>
        <w:t xml:space="preserve">; </w:t>
      </w:r>
      <w:r w:rsidRPr="00671194">
        <w:t>Z</w:t>
      </w:r>
      <w:r>
        <w:t>AREBSKI, P.:</w:t>
      </w:r>
      <w:r w:rsidRPr="00671194">
        <w:t xml:space="preserve"> </w:t>
      </w:r>
      <w:r w:rsidRPr="00472FFD">
        <w:rPr>
          <w:i/>
        </w:rPr>
        <w:t>Spatial diversity of tourist function development: The municipalities of Poland’s West Pomerania Province.</w:t>
      </w:r>
      <w:r w:rsidRPr="00671194">
        <w:t xml:space="preserve"> </w:t>
      </w:r>
      <w:r w:rsidRPr="00472FFD">
        <w:t xml:space="preserve">Acta geographica Slovenica, </w:t>
      </w:r>
      <w:r>
        <w:t>Ljubljana, Slovenija, 2016.</w:t>
      </w:r>
    </w:p>
    <w:p w:rsidR="000A393F" w:rsidRDefault="000A393F" w:rsidP="000A393F">
      <w:pPr>
        <w:ind w:left="270" w:hanging="270"/>
        <w:jc w:val="both"/>
        <w:rPr>
          <w:rFonts w:ascii="Times New Roman" w:hAnsi="Times New Roman"/>
          <w:b/>
          <w:sz w:val="28"/>
          <w:szCs w:val="28"/>
        </w:rPr>
      </w:pPr>
      <w:r w:rsidRPr="009F403C">
        <w:rPr>
          <w:rFonts w:ascii="Times New Roman" w:hAnsi="Times New Roman"/>
        </w:rPr>
        <w:t>[</w:t>
      </w:r>
      <w:r>
        <w:t>14</w:t>
      </w:r>
      <w:r w:rsidRPr="009F403C">
        <w:rPr>
          <w:rFonts w:ascii="Times New Roman" w:hAnsi="Times New Roman"/>
        </w:rPr>
        <w:t>]</w:t>
      </w:r>
      <w:r>
        <w:rPr>
          <w:rFonts w:ascii="Times New Roman" w:hAnsi="Times New Roman"/>
        </w:rPr>
        <w:t xml:space="preserve"> JOVIČIĆ, D.: </w:t>
      </w:r>
      <w:r w:rsidRPr="00DF4D04">
        <w:rPr>
          <w:rFonts w:ascii="Times New Roman" w:hAnsi="Times New Roman"/>
          <w:i/>
        </w:rPr>
        <w:t>Menadžment turističkih destinacija</w:t>
      </w:r>
      <w:r>
        <w:rPr>
          <w:rFonts w:ascii="Times New Roman" w:hAnsi="Times New Roman"/>
        </w:rPr>
        <w:t xml:space="preserve">. Želnid, Beograd, 2002. </w:t>
      </w:r>
    </w:p>
    <w:p w:rsidR="00B71C17" w:rsidRPr="00E25E43" w:rsidRDefault="00B71C17" w:rsidP="00E25E43">
      <w:pPr>
        <w:pStyle w:val="BodyText"/>
        <w:ind w:left="288" w:hanging="288"/>
        <w:rPr>
          <w:sz w:val="20"/>
          <w:szCs w:val="20"/>
        </w:rPr>
      </w:pPr>
    </w:p>
    <w:p w:rsidR="00E25E43" w:rsidRDefault="00E25E43" w:rsidP="0024506D">
      <w:pPr>
        <w:jc w:val="both"/>
        <w:rPr>
          <w:rFonts w:ascii="Times New Roman" w:hAnsi="Times New Roman"/>
        </w:rPr>
      </w:pPr>
    </w:p>
    <w:p w:rsidR="000221C7" w:rsidRDefault="000221C7" w:rsidP="000221C7">
      <w:pPr>
        <w:jc w:val="both"/>
        <w:rPr>
          <w:rFonts w:ascii="Times New Roman" w:hAnsi="Times New Roman"/>
          <w:b/>
          <w:sz w:val="28"/>
          <w:szCs w:val="28"/>
        </w:rPr>
      </w:pPr>
    </w:p>
    <w:sectPr w:rsidR="000221C7" w:rsidSect="00F2491A">
      <w:headerReference w:type="default" r:id="rId17"/>
      <w:footerReference w:type="default" r:id="rId18"/>
      <w:pgSz w:w="11907" w:h="16840" w:code="9"/>
      <w:pgMar w:top="1134" w:right="1134" w:bottom="1134" w:left="1134"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87" w:rsidRDefault="00F41287" w:rsidP="00671195">
      <w:r>
        <w:separator/>
      </w:r>
    </w:p>
  </w:endnote>
  <w:endnote w:type="continuationSeparator" w:id="1">
    <w:p w:rsidR="00F41287" w:rsidRDefault="00F41287" w:rsidP="00671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Roman">
    <w:altName w:val="Times New Roman"/>
    <w:charset w:val="00"/>
    <w:family w:val="auto"/>
    <w:pitch w:val="variable"/>
    <w:sig w:usb0="00000001" w:usb1="00000000" w:usb2="00000000" w:usb3="00000000" w:csb0="00000009"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A017A" w:rsidTr="002A017A">
      <w:trPr>
        <w:trHeight w:val="100"/>
      </w:trPr>
      <w:tc>
        <w:tcPr>
          <w:tcW w:w="9639" w:type="dxa"/>
        </w:tcPr>
        <w:p w:rsidR="002A017A" w:rsidRDefault="002A017A" w:rsidP="005E3EEC">
          <w:pPr>
            <w:pStyle w:val="Footer"/>
            <w:jc w:val="right"/>
          </w:pPr>
          <w:r>
            <w:t>9</w:t>
          </w:r>
          <w:r w:rsidRPr="007E43D7">
            <w:t xml:space="preserve"> - </w:t>
          </w:r>
          <w:fldSimple w:instr=" PAGE   \* MERGEFORMAT ">
            <w:r w:rsidR="00F41287">
              <w:rPr>
                <w:noProof/>
              </w:rPr>
              <w:t>7</w:t>
            </w:r>
          </w:fldSimple>
        </w:p>
      </w:tc>
    </w:tr>
  </w:tbl>
  <w:p w:rsidR="002A017A" w:rsidRDefault="002A017A" w:rsidP="002A017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87" w:rsidRDefault="00F41287" w:rsidP="00671195">
      <w:r>
        <w:separator/>
      </w:r>
    </w:p>
  </w:footnote>
  <w:footnote w:type="continuationSeparator" w:id="1">
    <w:p w:rsidR="00F41287" w:rsidRDefault="00F41287" w:rsidP="00671195">
      <w:r>
        <w:continuationSeparator/>
      </w:r>
    </w:p>
  </w:footnote>
  <w:footnote w:id="2">
    <w:p w:rsidR="009E6805" w:rsidRPr="00786DA9" w:rsidRDefault="009E6805">
      <w:pPr>
        <w:pStyle w:val="FootnoteText"/>
        <w:rPr>
          <w:rFonts w:ascii="Calibri" w:hAnsi="Calibri"/>
          <w:sz w:val="18"/>
          <w:szCs w:val="18"/>
        </w:rPr>
      </w:pPr>
      <w:r>
        <w:rPr>
          <w:rStyle w:val="FootnoteReference"/>
        </w:rPr>
        <w:footnoteRef/>
      </w:r>
      <w:r>
        <w:t xml:space="preserve"> </w:t>
      </w:r>
      <w:r w:rsidRPr="00671195">
        <w:rPr>
          <w:sz w:val="18"/>
          <w:szCs w:val="18"/>
        </w:rPr>
        <w:t xml:space="preserve">Since the Statistical Office of the </w:t>
      </w:r>
      <w:smartTag w:uri="urn:schemas-microsoft-com:office:smarttags" w:element="place">
        <w:smartTag w:uri="urn:schemas-microsoft-com:office:smarttags" w:element="PlaceType">
          <w:r w:rsidRPr="00671195">
            <w:rPr>
              <w:sz w:val="18"/>
              <w:szCs w:val="18"/>
            </w:rPr>
            <w:t>Republic</w:t>
          </w:r>
        </w:smartTag>
        <w:r w:rsidRPr="00671195">
          <w:rPr>
            <w:sz w:val="18"/>
            <w:szCs w:val="18"/>
          </w:rPr>
          <w:t xml:space="preserve"> of </w:t>
        </w:r>
        <w:smartTag w:uri="urn:schemas-microsoft-com:office:smarttags" w:element="PlaceName">
          <w:r w:rsidRPr="00671195">
            <w:rPr>
              <w:sz w:val="18"/>
              <w:szCs w:val="18"/>
            </w:rPr>
            <w:t>Serbia</w:t>
          </w:r>
        </w:smartTag>
      </w:smartTag>
      <w:r w:rsidRPr="00671195">
        <w:rPr>
          <w:sz w:val="18"/>
          <w:szCs w:val="18"/>
        </w:rPr>
        <w:t xml:space="preserve"> does not issue data on the population estimate by settlements in the inter-census period, the authors estimate the population calculated on the basis of the obtained data on population growth.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A" w:rsidRDefault="00114A9C" w:rsidP="002A017A">
    <w:pPr>
      <w:pStyle w:val="Header"/>
    </w:pPr>
    <w:r w:rsidRPr="00114A9C">
      <w:rPr>
        <w:noProof/>
        <w:lang w:val="sr-Latn-CS" w:eastAsia="en-GB"/>
      </w:rPr>
      <w:pict>
        <v:group id="Group 1" o:spid="_x0000_s2049" style="position:absolute;margin-left:1.35pt;margin-top:-32.15pt;width:481.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A017A" w:rsidRDefault="002A017A" w:rsidP="002A017A"/>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A017A" w:rsidRPr="002A017A" w:rsidRDefault="002A017A" w:rsidP="002A017A">
                  <w:pPr>
                    <w:pStyle w:val="NoSpacing"/>
                    <w:jc w:val="center"/>
                    <w:rPr>
                      <w:rFonts w:ascii="Times New Roman" w:hAnsi="Times New Roman"/>
                      <w:sz w:val="20"/>
                      <w:szCs w:val="20"/>
                    </w:rPr>
                  </w:pPr>
                  <w:r w:rsidRPr="002A017A">
                    <w:rPr>
                      <w:rFonts w:ascii="Times New Roman" w:hAnsi="Times New Roman"/>
                      <w:sz w:val="20"/>
                      <w:szCs w:val="20"/>
                    </w:rPr>
                    <w:t>10</w:t>
                  </w:r>
                  <w:r w:rsidRPr="002A017A">
                    <w:rPr>
                      <w:rFonts w:ascii="Times New Roman" w:hAnsi="Times New Roman"/>
                      <w:sz w:val="20"/>
                      <w:szCs w:val="20"/>
                      <w:vertAlign w:val="superscript"/>
                    </w:rPr>
                    <w:t>th</w:t>
                  </w:r>
                  <w:r w:rsidRPr="002A017A">
                    <w:rPr>
                      <w:rFonts w:ascii="Times New Roman" w:hAnsi="Times New Roman"/>
                      <w:sz w:val="20"/>
                      <w:szCs w:val="20"/>
                    </w:rPr>
                    <w:t xml:space="preserve"> International Scientific Conference</w:t>
                  </w:r>
                </w:p>
                <w:p w:rsidR="002A017A" w:rsidRPr="002A017A" w:rsidRDefault="002A017A" w:rsidP="002A017A">
                  <w:pPr>
                    <w:pStyle w:val="NoSpacing"/>
                    <w:jc w:val="center"/>
                    <w:rPr>
                      <w:rFonts w:ascii="Times New Roman" w:hAnsi="Times New Roman"/>
                      <w:sz w:val="20"/>
                      <w:szCs w:val="20"/>
                    </w:rPr>
                  </w:pPr>
                  <w:r w:rsidRPr="002A017A">
                    <w:rPr>
                      <w:rFonts w:ascii="Times New Roman" w:hAnsi="Times New Roman"/>
                      <w:sz w:val="20"/>
                      <w:szCs w:val="20"/>
                    </w:rPr>
                    <w:t>“Science and Higher Education in Function of Sustainable Development”</w:t>
                  </w:r>
                </w:p>
                <w:p w:rsidR="002A017A" w:rsidRPr="002A017A" w:rsidRDefault="002A017A" w:rsidP="002A017A">
                  <w:pPr>
                    <w:pStyle w:val="NoSpacing"/>
                    <w:jc w:val="center"/>
                    <w:rPr>
                      <w:rFonts w:ascii="Times New Roman" w:hAnsi="Times New Roman"/>
                      <w:sz w:val="20"/>
                      <w:szCs w:val="20"/>
                    </w:rPr>
                  </w:pPr>
                  <w:r w:rsidRPr="002A017A">
                    <w:rPr>
                      <w:rFonts w:ascii="Times New Roman" w:hAnsi="Times New Roman"/>
                      <w:sz w:val="20"/>
                      <w:szCs w:val="20"/>
                    </w:rPr>
                    <w:t>06 – 07 October 2017, Mećavnik – Drvengrad, Užice, Serbia</w:t>
                  </w:r>
                </w:p>
              </w:txbxContent>
            </v:textbox>
          </v:shape>
        </v:group>
      </w:pict>
    </w:r>
    <w:r w:rsidR="002A017A">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A017A" w:rsidRDefault="002A017A" w:rsidP="002A017A">
    <w:pPr>
      <w:pStyle w:val="Header"/>
    </w:pPr>
  </w:p>
  <w:p w:rsidR="002A017A" w:rsidRDefault="002A017A" w:rsidP="002A0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4B0F"/>
    <w:multiLevelType w:val="multilevel"/>
    <w:tmpl w:val="11E86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F1F71B8"/>
    <w:multiLevelType w:val="multilevel"/>
    <w:tmpl w:val="E90AC9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E16995"/>
    <w:rsid w:val="000077BA"/>
    <w:rsid w:val="00012B60"/>
    <w:rsid w:val="00021C19"/>
    <w:rsid w:val="000221C7"/>
    <w:rsid w:val="0002248F"/>
    <w:rsid w:val="000230E5"/>
    <w:rsid w:val="00040B30"/>
    <w:rsid w:val="00047870"/>
    <w:rsid w:val="00070A65"/>
    <w:rsid w:val="00085FD8"/>
    <w:rsid w:val="000A393F"/>
    <w:rsid w:val="000E1931"/>
    <w:rsid w:val="00114A9C"/>
    <w:rsid w:val="0011615A"/>
    <w:rsid w:val="00137B8F"/>
    <w:rsid w:val="00151BB4"/>
    <w:rsid w:val="00154645"/>
    <w:rsid w:val="00176AA5"/>
    <w:rsid w:val="00193D72"/>
    <w:rsid w:val="001A4F7A"/>
    <w:rsid w:val="001B55F3"/>
    <w:rsid w:val="001C6330"/>
    <w:rsid w:val="00204739"/>
    <w:rsid w:val="00204865"/>
    <w:rsid w:val="00210CC8"/>
    <w:rsid w:val="00210D74"/>
    <w:rsid w:val="00213BD1"/>
    <w:rsid w:val="00216F36"/>
    <w:rsid w:val="0023437D"/>
    <w:rsid w:val="00240467"/>
    <w:rsid w:val="0024506D"/>
    <w:rsid w:val="002523CA"/>
    <w:rsid w:val="00281EAB"/>
    <w:rsid w:val="00286B8F"/>
    <w:rsid w:val="0029032A"/>
    <w:rsid w:val="00290755"/>
    <w:rsid w:val="002A017A"/>
    <w:rsid w:val="002B1C15"/>
    <w:rsid w:val="002D06FF"/>
    <w:rsid w:val="00331F4E"/>
    <w:rsid w:val="0033339A"/>
    <w:rsid w:val="003349B5"/>
    <w:rsid w:val="00343A12"/>
    <w:rsid w:val="00347B6D"/>
    <w:rsid w:val="003543EB"/>
    <w:rsid w:val="00355A25"/>
    <w:rsid w:val="00375CD9"/>
    <w:rsid w:val="003A2BDE"/>
    <w:rsid w:val="003A53EF"/>
    <w:rsid w:val="003B0405"/>
    <w:rsid w:val="004301BE"/>
    <w:rsid w:val="0043348A"/>
    <w:rsid w:val="00484F2E"/>
    <w:rsid w:val="004C76B1"/>
    <w:rsid w:val="004D1E77"/>
    <w:rsid w:val="004E47B5"/>
    <w:rsid w:val="004F573F"/>
    <w:rsid w:val="00501F7A"/>
    <w:rsid w:val="00553748"/>
    <w:rsid w:val="00561D2F"/>
    <w:rsid w:val="00566B7C"/>
    <w:rsid w:val="005960D2"/>
    <w:rsid w:val="005A69C9"/>
    <w:rsid w:val="005B156E"/>
    <w:rsid w:val="005D6ABD"/>
    <w:rsid w:val="00621849"/>
    <w:rsid w:val="006219AB"/>
    <w:rsid w:val="00671195"/>
    <w:rsid w:val="006715F5"/>
    <w:rsid w:val="00676678"/>
    <w:rsid w:val="00685D1C"/>
    <w:rsid w:val="006E0E79"/>
    <w:rsid w:val="00725733"/>
    <w:rsid w:val="00726B71"/>
    <w:rsid w:val="00732FBD"/>
    <w:rsid w:val="00741326"/>
    <w:rsid w:val="0075602F"/>
    <w:rsid w:val="00763E0C"/>
    <w:rsid w:val="00777A49"/>
    <w:rsid w:val="007849EC"/>
    <w:rsid w:val="00786DA9"/>
    <w:rsid w:val="007C03BB"/>
    <w:rsid w:val="007D13F7"/>
    <w:rsid w:val="007D2FEA"/>
    <w:rsid w:val="007D41C4"/>
    <w:rsid w:val="007E7830"/>
    <w:rsid w:val="00810D88"/>
    <w:rsid w:val="00813016"/>
    <w:rsid w:val="008514D1"/>
    <w:rsid w:val="00851AE5"/>
    <w:rsid w:val="00860A25"/>
    <w:rsid w:val="00876905"/>
    <w:rsid w:val="0088308D"/>
    <w:rsid w:val="008B304B"/>
    <w:rsid w:val="009039F9"/>
    <w:rsid w:val="009066B7"/>
    <w:rsid w:val="00917E82"/>
    <w:rsid w:val="00920224"/>
    <w:rsid w:val="009265AB"/>
    <w:rsid w:val="00932D05"/>
    <w:rsid w:val="00946219"/>
    <w:rsid w:val="00952555"/>
    <w:rsid w:val="0096190E"/>
    <w:rsid w:val="00966B52"/>
    <w:rsid w:val="009671E8"/>
    <w:rsid w:val="009678D6"/>
    <w:rsid w:val="00995654"/>
    <w:rsid w:val="009A0061"/>
    <w:rsid w:val="009C5454"/>
    <w:rsid w:val="009C6D32"/>
    <w:rsid w:val="009D3650"/>
    <w:rsid w:val="009E3735"/>
    <w:rsid w:val="009E42EC"/>
    <w:rsid w:val="009E6805"/>
    <w:rsid w:val="00A00C1E"/>
    <w:rsid w:val="00A03724"/>
    <w:rsid w:val="00A10B74"/>
    <w:rsid w:val="00A32BE0"/>
    <w:rsid w:val="00A34C82"/>
    <w:rsid w:val="00A40DE6"/>
    <w:rsid w:val="00A44965"/>
    <w:rsid w:val="00AA0260"/>
    <w:rsid w:val="00AB2577"/>
    <w:rsid w:val="00AD2560"/>
    <w:rsid w:val="00AD4418"/>
    <w:rsid w:val="00AF2B5E"/>
    <w:rsid w:val="00B014B1"/>
    <w:rsid w:val="00B469E4"/>
    <w:rsid w:val="00B6126F"/>
    <w:rsid w:val="00B661AB"/>
    <w:rsid w:val="00B71C17"/>
    <w:rsid w:val="00B7471E"/>
    <w:rsid w:val="00B7672C"/>
    <w:rsid w:val="00B85D53"/>
    <w:rsid w:val="00B9365E"/>
    <w:rsid w:val="00C2071D"/>
    <w:rsid w:val="00C30E23"/>
    <w:rsid w:val="00C44448"/>
    <w:rsid w:val="00C73C2D"/>
    <w:rsid w:val="00C8110B"/>
    <w:rsid w:val="00CC7A3B"/>
    <w:rsid w:val="00CE2CF9"/>
    <w:rsid w:val="00CE467D"/>
    <w:rsid w:val="00CE53BB"/>
    <w:rsid w:val="00CF2A57"/>
    <w:rsid w:val="00D40D96"/>
    <w:rsid w:val="00D50393"/>
    <w:rsid w:val="00D5218B"/>
    <w:rsid w:val="00D553BE"/>
    <w:rsid w:val="00D75839"/>
    <w:rsid w:val="00DA0B94"/>
    <w:rsid w:val="00DB14BE"/>
    <w:rsid w:val="00DB351F"/>
    <w:rsid w:val="00DD759D"/>
    <w:rsid w:val="00DF3660"/>
    <w:rsid w:val="00DF7360"/>
    <w:rsid w:val="00E10F14"/>
    <w:rsid w:val="00E16995"/>
    <w:rsid w:val="00E16F9F"/>
    <w:rsid w:val="00E216CF"/>
    <w:rsid w:val="00E25E43"/>
    <w:rsid w:val="00E44FE0"/>
    <w:rsid w:val="00E57F1C"/>
    <w:rsid w:val="00E6788E"/>
    <w:rsid w:val="00E8105A"/>
    <w:rsid w:val="00E84E29"/>
    <w:rsid w:val="00EA5613"/>
    <w:rsid w:val="00ED0A88"/>
    <w:rsid w:val="00ED2C4C"/>
    <w:rsid w:val="00ED645D"/>
    <w:rsid w:val="00F00260"/>
    <w:rsid w:val="00F123D7"/>
    <w:rsid w:val="00F16758"/>
    <w:rsid w:val="00F21665"/>
    <w:rsid w:val="00F2491A"/>
    <w:rsid w:val="00F41287"/>
    <w:rsid w:val="00F66E9D"/>
    <w:rsid w:val="00F877A8"/>
    <w:rsid w:val="00F95DDE"/>
    <w:rsid w:val="00FB7685"/>
    <w:rsid w:val="00FD73FE"/>
    <w:rsid w:val="00FF1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A9C"/>
    <w:rPr>
      <w:rFonts w:ascii="TimesRoman" w:hAnsi="Times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0260"/>
    <w:rPr>
      <w:color w:val="0000FF"/>
      <w:u w:val="single"/>
    </w:rPr>
  </w:style>
  <w:style w:type="paragraph" w:styleId="NormalWeb">
    <w:name w:val="Normal (Web)"/>
    <w:basedOn w:val="Normal"/>
    <w:uiPriority w:val="99"/>
    <w:unhideWhenUsed/>
    <w:rsid w:val="00C4444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E25E43"/>
    <w:pPr>
      <w:jc w:val="both"/>
    </w:pPr>
    <w:rPr>
      <w:rFonts w:ascii="Times New Roman" w:hAnsi="Times New Roman"/>
      <w:sz w:val="24"/>
      <w:szCs w:val="24"/>
      <w:lang w:val="sr-Latn-CS"/>
    </w:rPr>
  </w:style>
  <w:style w:type="character" w:customStyle="1" w:styleId="BodyTextChar">
    <w:name w:val="Body Text Char"/>
    <w:link w:val="BodyText"/>
    <w:rsid w:val="00E25E43"/>
    <w:rPr>
      <w:sz w:val="24"/>
      <w:szCs w:val="24"/>
      <w:lang w:val="sr-Latn-CS"/>
    </w:rPr>
  </w:style>
  <w:style w:type="paragraph" w:customStyle="1" w:styleId="21ZGIJCEquation">
    <w:name w:val="21_ZGIJC_Equation"/>
    <w:basedOn w:val="Normal"/>
    <w:next w:val="Normal"/>
    <w:rsid w:val="00A32BE0"/>
    <w:pPr>
      <w:spacing w:before="220"/>
      <w:ind w:left="2041"/>
      <w:jc w:val="center"/>
    </w:pPr>
    <w:rPr>
      <w:rFonts w:ascii="Times New Roman" w:hAnsi="Times New Roman"/>
      <w:sz w:val="22"/>
      <w:szCs w:val="22"/>
    </w:rPr>
  </w:style>
  <w:style w:type="paragraph" w:styleId="NoSpacing">
    <w:name w:val="No Spacing"/>
    <w:link w:val="NoSpacingChar"/>
    <w:uiPriority w:val="1"/>
    <w:qFormat/>
    <w:rsid w:val="00F21665"/>
    <w:pPr>
      <w:jc w:val="both"/>
    </w:pPr>
    <w:rPr>
      <w:rFonts w:ascii="Calibri" w:eastAsia="Calibri" w:hAnsi="Calibri"/>
      <w:sz w:val="22"/>
      <w:szCs w:val="22"/>
    </w:rPr>
  </w:style>
  <w:style w:type="character" w:styleId="CommentReference">
    <w:name w:val="annotation reference"/>
    <w:rsid w:val="00F21665"/>
    <w:rPr>
      <w:sz w:val="16"/>
      <w:szCs w:val="16"/>
    </w:rPr>
  </w:style>
  <w:style w:type="paragraph" w:styleId="ListParagraph">
    <w:name w:val="List Paragraph"/>
    <w:basedOn w:val="Normal"/>
    <w:uiPriority w:val="34"/>
    <w:qFormat/>
    <w:rsid w:val="009C6D32"/>
    <w:pPr>
      <w:ind w:left="720"/>
    </w:pPr>
  </w:style>
  <w:style w:type="paragraph" w:customStyle="1" w:styleId="09ZGIJCMaintext">
    <w:name w:val="09_ZGIJC_Main text"/>
    <w:basedOn w:val="Normal"/>
    <w:rsid w:val="009C6D32"/>
    <w:pPr>
      <w:spacing w:before="220"/>
      <w:jc w:val="both"/>
    </w:pPr>
    <w:rPr>
      <w:rFonts w:ascii="Times New Roman" w:hAnsi="Times New Roman"/>
      <w:sz w:val="22"/>
      <w:szCs w:val="22"/>
    </w:rPr>
  </w:style>
  <w:style w:type="paragraph" w:styleId="FootnoteText">
    <w:name w:val="footnote text"/>
    <w:basedOn w:val="Normal"/>
    <w:link w:val="FootnoteTextChar"/>
    <w:rsid w:val="00671195"/>
  </w:style>
  <w:style w:type="character" w:customStyle="1" w:styleId="FootnoteTextChar">
    <w:name w:val="Footnote Text Char"/>
    <w:link w:val="FootnoteText"/>
    <w:rsid w:val="00671195"/>
    <w:rPr>
      <w:rFonts w:ascii="TimesRoman" w:hAnsi="TimesRoman"/>
    </w:rPr>
  </w:style>
  <w:style w:type="character" w:styleId="FootnoteReference">
    <w:name w:val="footnote reference"/>
    <w:rsid w:val="00671195"/>
    <w:rPr>
      <w:vertAlign w:val="superscript"/>
    </w:rPr>
  </w:style>
  <w:style w:type="paragraph" w:styleId="Header">
    <w:name w:val="header"/>
    <w:basedOn w:val="Normal"/>
    <w:link w:val="HeaderChar"/>
    <w:uiPriority w:val="99"/>
    <w:rsid w:val="002A017A"/>
    <w:pPr>
      <w:tabs>
        <w:tab w:val="center" w:pos="4680"/>
        <w:tab w:val="right" w:pos="9360"/>
      </w:tabs>
    </w:pPr>
  </w:style>
  <w:style w:type="character" w:customStyle="1" w:styleId="HeaderChar">
    <w:name w:val="Header Char"/>
    <w:basedOn w:val="DefaultParagraphFont"/>
    <w:link w:val="Header"/>
    <w:uiPriority w:val="99"/>
    <w:rsid w:val="002A017A"/>
    <w:rPr>
      <w:rFonts w:ascii="TimesRoman" w:hAnsi="TimesRoman"/>
    </w:rPr>
  </w:style>
  <w:style w:type="paragraph" w:styleId="Footer">
    <w:name w:val="footer"/>
    <w:basedOn w:val="Normal"/>
    <w:link w:val="FooterChar"/>
    <w:rsid w:val="002A017A"/>
    <w:pPr>
      <w:tabs>
        <w:tab w:val="center" w:pos="4680"/>
        <w:tab w:val="right" w:pos="9360"/>
      </w:tabs>
    </w:pPr>
  </w:style>
  <w:style w:type="character" w:customStyle="1" w:styleId="FooterChar">
    <w:name w:val="Footer Char"/>
    <w:basedOn w:val="DefaultParagraphFont"/>
    <w:link w:val="Footer"/>
    <w:rsid w:val="002A017A"/>
    <w:rPr>
      <w:rFonts w:ascii="TimesRoman" w:hAnsi="TimesRoman"/>
    </w:rPr>
  </w:style>
  <w:style w:type="character" w:customStyle="1" w:styleId="NoSpacingChar">
    <w:name w:val="No Spacing Char"/>
    <w:link w:val="NoSpacing"/>
    <w:uiPriority w:val="1"/>
    <w:locked/>
    <w:rsid w:val="002A017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9654034">
      <w:bodyDiv w:val="1"/>
      <w:marLeft w:val="0"/>
      <w:marRight w:val="0"/>
      <w:marTop w:val="0"/>
      <w:marBottom w:val="0"/>
      <w:divBdr>
        <w:top w:val="none" w:sz="0" w:space="0" w:color="auto"/>
        <w:left w:val="none" w:sz="0" w:space="0" w:color="auto"/>
        <w:bottom w:val="none" w:sz="0" w:space="0" w:color="auto"/>
        <w:right w:val="none" w:sz="0" w:space="0" w:color="auto"/>
      </w:divBdr>
    </w:div>
    <w:div w:id="63769955">
      <w:bodyDiv w:val="1"/>
      <w:marLeft w:val="0"/>
      <w:marRight w:val="0"/>
      <w:marTop w:val="0"/>
      <w:marBottom w:val="0"/>
      <w:divBdr>
        <w:top w:val="none" w:sz="0" w:space="0" w:color="auto"/>
        <w:left w:val="none" w:sz="0" w:space="0" w:color="auto"/>
        <w:bottom w:val="none" w:sz="0" w:space="0" w:color="auto"/>
        <w:right w:val="none" w:sz="0" w:space="0" w:color="auto"/>
      </w:divBdr>
    </w:div>
    <w:div w:id="165483816">
      <w:bodyDiv w:val="1"/>
      <w:marLeft w:val="0"/>
      <w:marRight w:val="0"/>
      <w:marTop w:val="0"/>
      <w:marBottom w:val="0"/>
      <w:divBdr>
        <w:top w:val="none" w:sz="0" w:space="0" w:color="auto"/>
        <w:left w:val="none" w:sz="0" w:space="0" w:color="auto"/>
        <w:bottom w:val="none" w:sz="0" w:space="0" w:color="auto"/>
        <w:right w:val="none" w:sz="0" w:space="0" w:color="auto"/>
      </w:divBdr>
    </w:div>
    <w:div w:id="366443511">
      <w:bodyDiv w:val="1"/>
      <w:marLeft w:val="0"/>
      <w:marRight w:val="0"/>
      <w:marTop w:val="0"/>
      <w:marBottom w:val="0"/>
      <w:divBdr>
        <w:top w:val="none" w:sz="0" w:space="0" w:color="auto"/>
        <w:left w:val="none" w:sz="0" w:space="0" w:color="auto"/>
        <w:bottom w:val="none" w:sz="0" w:space="0" w:color="auto"/>
        <w:right w:val="none" w:sz="0" w:space="0" w:color="auto"/>
      </w:divBdr>
    </w:div>
    <w:div w:id="521826699">
      <w:bodyDiv w:val="1"/>
      <w:marLeft w:val="0"/>
      <w:marRight w:val="0"/>
      <w:marTop w:val="0"/>
      <w:marBottom w:val="0"/>
      <w:divBdr>
        <w:top w:val="none" w:sz="0" w:space="0" w:color="auto"/>
        <w:left w:val="none" w:sz="0" w:space="0" w:color="auto"/>
        <w:bottom w:val="none" w:sz="0" w:space="0" w:color="auto"/>
        <w:right w:val="none" w:sz="0" w:space="0" w:color="auto"/>
      </w:divBdr>
    </w:div>
    <w:div w:id="680011777">
      <w:bodyDiv w:val="1"/>
      <w:marLeft w:val="0"/>
      <w:marRight w:val="0"/>
      <w:marTop w:val="0"/>
      <w:marBottom w:val="0"/>
      <w:divBdr>
        <w:top w:val="none" w:sz="0" w:space="0" w:color="auto"/>
        <w:left w:val="none" w:sz="0" w:space="0" w:color="auto"/>
        <w:bottom w:val="none" w:sz="0" w:space="0" w:color="auto"/>
        <w:right w:val="none" w:sz="0" w:space="0" w:color="auto"/>
      </w:divBdr>
    </w:div>
    <w:div w:id="686834613">
      <w:bodyDiv w:val="1"/>
      <w:marLeft w:val="0"/>
      <w:marRight w:val="0"/>
      <w:marTop w:val="0"/>
      <w:marBottom w:val="0"/>
      <w:divBdr>
        <w:top w:val="none" w:sz="0" w:space="0" w:color="auto"/>
        <w:left w:val="none" w:sz="0" w:space="0" w:color="auto"/>
        <w:bottom w:val="none" w:sz="0" w:space="0" w:color="auto"/>
        <w:right w:val="none" w:sz="0" w:space="0" w:color="auto"/>
      </w:divBdr>
    </w:div>
    <w:div w:id="815344051">
      <w:bodyDiv w:val="1"/>
      <w:marLeft w:val="0"/>
      <w:marRight w:val="0"/>
      <w:marTop w:val="0"/>
      <w:marBottom w:val="0"/>
      <w:divBdr>
        <w:top w:val="none" w:sz="0" w:space="0" w:color="auto"/>
        <w:left w:val="none" w:sz="0" w:space="0" w:color="auto"/>
        <w:bottom w:val="none" w:sz="0" w:space="0" w:color="auto"/>
        <w:right w:val="none" w:sz="0" w:space="0" w:color="auto"/>
      </w:divBdr>
    </w:div>
    <w:div w:id="898588465">
      <w:bodyDiv w:val="1"/>
      <w:marLeft w:val="0"/>
      <w:marRight w:val="0"/>
      <w:marTop w:val="0"/>
      <w:marBottom w:val="0"/>
      <w:divBdr>
        <w:top w:val="none" w:sz="0" w:space="0" w:color="auto"/>
        <w:left w:val="none" w:sz="0" w:space="0" w:color="auto"/>
        <w:bottom w:val="none" w:sz="0" w:space="0" w:color="auto"/>
        <w:right w:val="none" w:sz="0" w:space="0" w:color="auto"/>
      </w:divBdr>
    </w:div>
    <w:div w:id="1200706428">
      <w:bodyDiv w:val="1"/>
      <w:marLeft w:val="0"/>
      <w:marRight w:val="0"/>
      <w:marTop w:val="0"/>
      <w:marBottom w:val="0"/>
      <w:divBdr>
        <w:top w:val="none" w:sz="0" w:space="0" w:color="auto"/>
        <w:left w:val="none" w:sz="0" w:space="0" w:color="auto"/>
        <w:bottom w:val="none" w:sz="0" w:space="0" w:color="auto"/>
        <w:right w:val="none" w:sz="0" w:space="0" w:color="auto"/>
      </w:divBdr>
    </w:div>
    <w:div w:id="1419249186">
      <w:bodyDiv w:val="1"/>
      <w:marLeft w:val="0"/>
      <w:marRight w:val="0"/>
      <w:marTop w:val="0"/>
      <w:marBottom w:val="0"/>
      <w:divBdr>
        <w:top w:val="none" w:sz="0" w:space="0" w:color="auto"/>
        <w:left w:val="none" w:sz="0" w:space="0" w:color="auto"/>
        <w:bottom w:val="none" w:sz="0" w:space="0" w:color="auto"/>
        <w:right w:val="none" w:sz="0" w:space="0" w:color="auto"/>
      </w:divBdr>
    </w:div>
    <w:div w:id="1561206476">
      <w:bodyDiv w:val="1"/>
      <w:marLeft w:val="0"/>
      <w:marRight w:val="0"/>
      <w:marTop w:val="0"/>
      <w:marBottom w:val="0"/>
      <w:divBdr>
        <w:top w:val="none" w:sz="0" w:space="0" w:color="auto"/>
        <w:left w:val="none" w:sz="0" w:space="0" w:color="auto"/>
        <w:bottom w:val="none" w:sz="0" w:space="0" w:color="auto"/>
        <w:right w:val="none" w:sz="0" w:space="0" w:color="auto"/>
      </w:divBdr>
    </w:div>
    <w:div w:id="1720517048">
      <w:bodyDiv w:val="1"/>
      <w:marLeft w:val="0"/>
      <w:marRight w:val="0"/>
      <w:marTop w:val="0"/>
      <w:marBottom w:val="0"/>
      <w:divBdr>
        <w:top w:val="none" w:sz="0" w:space="0" w:color="auto"/>
        <w:left w:val="none" w:sz="0" w:space="0" w:color="auto"/>
        <w:bottom w:val="none" w:sz="0" w:space="0" w:color="auto"/>
        <w:right w:val="none" w:sz="0" w:space="0" w:color="auto"/>
      </w:divBdr>
    </w:div>
    <w:div w:id="1731148834">
      <w:bodyDiv w:val="1"/>
      <w:marLeft w:val="0"/>
      <w:marRight w:val="0"/>
      <w:marTop w:val="0"/>
      <w:marBottom w:val="0"/>
      <w:divBdr>
        <w:top w:val="none" w:sz="0" w:space="0" w:color="auto"/>
        <w:left w:val="none" w:sz="0" w:space="0" w:color="auto"/>
        <w:bottom w:val="none" w:sz="0" w:space="0" w:color="auto"/>
        <w:right w:val="none" w:sz="0" w:space="0" w:color="auto"/>
      </w:divBdr>
    </w:div>
    <w:div w:id="2040081331">
      <w:bodyDiv w:val="1"/>
      <w:marLeft w:val="0"/>
      <w:marRight w:val="0"/>
      <w:marTop w:val="0"/>
      <w:marBottom w:val="0"/>
      <w:divBdr>
        <w:top w:val="none" w:sz="0" w:space="0" w:color="auto"/>
        <w:left w:val="none" w:sz="0" w:space="0" w:color="auto"/>
        <w:bottom w:val="none" w:sz="0" w:space="0" w:color="auto"/>
        <w:right w:val="none" w:sz="0" w:space="0" w:color="auto"/>
      </w:divBdr>
    </w:div>
    <w:div w:id="21337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vicsslobodanka@gmail.com"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ki.peric84@gmail.com"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D9BB-9F86-4C85-96E2-F91F45BC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Links>
    <vt:vector size="18" baseType="variant">
      <vt:variant>
        <vt:i4>2818174</vt:i4>
      </vt:variant>
      <vt:variant>
        <vt:i4>15</vt:i4>
      </vt:variant>
      <vt:variant>
        <vt:i4>0</vt:i4>
      </vt:variant>
      <vt:variant>
        <vt:i4>5</vt:i4>
      </vt:variant>
      <vt:variant>
        <vt:lpwstr>http://www/</vt:lpwstr>
      </vt:variant>
      <vt:variant>
        <vt:lpwstr/>
      </vt:variant>
      <vt:variant>
        <vt:i4>8060958</vt:i4>
      </vt:variant>
      <vt:variant>
        <vt:i4>3</vt:i4>
      </vt:variant>
      <vt:variant>
        <vt:i4>0</vt:i4>
      </vt:variant>
      <vt:variant>
        <vt:i4>5</vt:i4>
      </vt:variant>
      <vt:variant>
        <vt:lpwstr>mailto:maki.peric84@gmail.com</vt:lpwstr>
      </vt:variant>
      <vt:variant>
        <vt:lpwstr/>
      </vt:variant>
      <vt:variant>
        <vt:i4>589865</vt:i4>
      </vt:variant>
      <vt:variant>
        <vt:i4>0</vt:i4>
      </vt:variant>
      <vt:variant>
        <vt:i4>0</vt:i4>
      </vt:variant>
      <vt:variant>
        <vt:i4>5</vt:i4>
      </vt:variant>
      <vt:variant>
        <vt:lpwstr>mailto:markovicsslobodanka@gmail.com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Pedja</cp:lastModifiedBy>
  <cp:revision>5</cp:revision>
  <cp:lastPrinted>2017-05-28T19:51:00Z</cp:lastPrinted>
  <dcterms:created xsi:type="dcterms:W3CDTF">2017-10-14T10:21:00Z</dcterms:created>
  <dcterms:modified xsi:type="dcterms:W3CDTF">2017-10-15T10:22:00Z</dcterms:modified>
</cp:coreProperties>
</file>