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C1" w:rsidRPr="00092BBF" w:rsidRDefault="001A72C1" w:rsidP="001A72C1">
      <w:pPr>
        <w:spacing w:after="0" w:line="240" w:lineRule="auto"/>
        <w:contextualSpacing/>
        <w:jc w:val="center"/>
        <w:rPr>
          <w:rFonts w:ascii="Times New Roman" w:hAnsi="Times New Roman" w:cs="Times New Roman"/>
          <w:sz w:val="20"/>
          <w:szCs w:val="20"/>
        </w:rPr>
      </w:pPr>
    </w:p>
    <w:p w:rsidR="001A72C1" w:rsidRPr="00092BBF" w:rsidRDefault="001A72C1" w:rsidP="001A72C1">
      <w:pPr>
        <w:spacing w:after="0" w:line="240" w:lineRule="auto"/>
        <w:contextualSpacing/>
        <w:jc w:val="center"/>
        <w:rPr>
          <w:rFonts w:ascii="Times New Roman" w:hAnsi="Times New Roman" w:cs="Times New Roman"/>
          <w:sz w:val="20"/>
          <w:szCs w:val="20"/>
        </w:rPr>
      </w:pPr>
    </w:p>
    <w:p w:rsidR="001A72C1" w:rsidRPr="00092BBF" w:rsidRDefault="001A72C1" w:rsidP="001A72C1">
      <w:pPr>
        <w:spacing w:after="0" w:line="240" w:lineRule="auto"/>
        <w:contextualSpacing/>
        <w:jc w:val="center"/>
        <w:rPr>
          <w:rFonts w:ascii="Times New Roman" w:hAnsi="Times New Roman" w:cs="Times New Roman"/>
          <w:sz w:val="20"/>
          <w:szCs w:val="20"/>
        </w:rPr>
      </w:pPr>
    </w:p>
    <w:p w:rsidR="001A72C1" w:rsidRPr="00092BBF" w:rsidRDefault="001A72C1" w:rsidP="001A72C1">
      <w:pPr>
        <w:spacing w:after="0" w:line="240" w:lineRule="auto"/>
        <w:contextualSpacing/>
        <w:jc w:val="center"/>
        <w:rPr>
          <w:rFonts w:ascii="Times New Roman" w:hAnsi="Times New Roman" w:cs="Times New Roman"/>
          <w:sz w:val="20"/>
          <w:szCs w:val="20"/>
        </w:rPr>
      </w:pPr>
    </w:p>
    <w:p w:rsidR="001A72C1" w:rsidRPr="00092BBF" w:rsidRDefault="001A72C1" w:rsidP="001A72C1">
      <w:pPr>
        <w:spacing w:after="0" w:line="240" w:lineRule="auto"/>
        <w:contextualSpacing/>
        <w:jc w:val="center"/>
        <w:rPr>
          <w:rFonts w:ascii="Times New Roman" w:hAnsi="Times New Roman" w:cs="Times New Roman"/>
          <w:sz w:val="20"/>
          <w:szCs w:val="20"/>
        </w:rPr>
      </w:pPr>
    </w:p>
    <w:p w:rsidR="001A72C1" w:rsidRPr="00092BBF" w:rsidRDefault="001A72C1" w:rsidP="001A72C1">
      <w:pPr>
        <w:spacing w:after="0" w:line="240" w:lineRule="auto"/>
        <w:contextualSpacing/>
        <w:jc w:val="center"/>
        <w:rPr>
          <w:rFonts w:ascii="Times New Roman" w:hAnsi="Times New Roman" w:cs="Times New Roman"/>
          <w:b/>
          <w:sz w:val="28"/>
          <w:szCs w:val="28"/>
        </w:rPr>
      </w:pPr>
      <w:r w:rsidRPr="00092BBF">
        <w:rPr>
          <w:rFonts w:ascii="Times New Roman" w:hAnsi="Times New Roman" w:cs="Times New Roman"/>
          <w:b/>
          <w:sz w:val="28"/>
          <w:szCs w:val="28"/>
        </w:rPr>
        <w:t>ANALYSIS OF TOURIST TRAFFIC IN THE REGION OF SOUTHERN AND EASTERN SERBIA</w:t>
      </w:r>
    </w:p>
    <w:p w:rsidR="001A72C1" w:rsidRPr="00092BBF" w:rsidRDefault="001A72C1" w:rsidP="001A72C1">
      <w:pPr>
        <w:pStyle w:val="BodyText3"/>
        <w:spacing w:after="0"/>
        <w:contextualSpacing/>
        <w:jc w:val="center"/>
        <w:rPr>
          <w:i/>
          <w:sz w:val="20"/>
        </w:rPr>
      </w:pPr>
    </w:p>
    <w:p w:rsidR="001A72C1" w:rsidRPr="00092BBF" w:rsidRDefault="001A72C1" w:rsidP="001A72C1">
      <w:pPr>
        <w:spacing w:after="0" w:line="240" w:lineRule="auto"/>
        <w:contextualSpacing/>
        <w:jc w:val="center"/>
        <w:rPr>
          <w:rFonts w:ascii="Times New Roman" w:hAnsi="Times New Roman" w:cs="Times New Roman"/>
          <w:b/>
        </w:rPr>
      </w:pPr>
      <w:r w:rsidRPr="00092BBF">
        <w:rPr>
          <w:rFonts w:ascii="Times New Roman" w:hAnsi="Times New Roman" w:cs="Times New Roman"/>
          <w:b/>
        </w:rPr>
        <w:t>Dragana Ilić</w:t>
      </w:r>
      <w:r w:rsidRPr="00092BBF">
        <w:rPr>
          <w:rFonts w:ascii="Times New Roman" w:hAnsi="Times New Roman" w:cs="Times New Roman"/>
          <w:b/>
          <w:vertAlign w:val="superscript"/>
        </w:rPr>
        <w:t>1</w:t>
      </w:r>
      <w:r w:rsidRPr="00092BBF">
        <w:rPr>
          <w:rFonts w:ascii="Times New Roman" w:hAnsi="Times New Roman" w:cs="Times New Roman"/>
          <w:b/>
        </w:rPr>
        <w:t>, M.Sc.; Ljubica Janjić Baduli</w:t>
      </w:r>
      <w:r w:rsidR="00194E7A" w:rsidRPr="00092BBF">
        <w:rPr>
          <w:rFonts w:ascii="Times New Roman" w:hAnsi="Times New Roman" w:cs="Times New Roman"/>
          <w:b/>
          <w:vertAlign w:val="superscript"/>
        </w:rPr>
        <w:t>2</w:t>
      </w:r>
      <w:r w:rsidRPr="00092BBF">
        <w:rPr>
          <w:rFonts w:ascii="Times New Roman" w:hAnsi="Times New Roman" w:cs="Times New Roman"/>
          <w:b/>
        </w:rPr>
        <w:t xml:space="preserve">, M.Sc. </w:t>
      </w:r>
    </w:p>
    <w:p w:rsidR="001A72C1" w:rsidRPr="00092BBF" w:rsidRDefault="001A72C1" w:rsidP="001A72C1">
      <w:pPr>
        <w:spacing w:after="0" w:line="240" w:lineRule="auto"/>
        <w:contextualSpacing/>
        <w:jc w:val="center"/>
        <w:rPr>
          <w:rFonts w:ascii="Times New Roman" w:hAnsi="Times New Roman" w:cs="Times New Roman"/>
          <w:sz w:val="20"/>
        </w:rPr>
      </w:pPr>
      <w:r w:rsidRPr="00092BBF">
        <w:rPr>
          <w:rFonts w:ascii="Times New Roman" w:hAnsi="Times New Roman" w:cs="Times New Roman"/>
          <w:sz w:val="20"/>
          <w:vertAlign w:val="superscript"/>
        </w:rPr>
        <w:t>1</w:t>
      </w:r>
      <w:r w:rsidRPr="00092BBF">
        <w:rPr>
          <w:rStyle w:val="plava"/>
          <w:rFonts w:ascii="Times New Roman" w:hAnsi="Times New Roman" w:cs="Times New Roman"/>
          <w:sz w:val="20"/>
          <w:szCs w:val="20"/>
        </w:rPr>
        <w:t>Higher Business School, Leskovac, SERBIA, ilic.dragana@vpsle.edu.rs</w:t>
      </w:r>
    </w:p>
    <w:p w:rsidR="001A72C1" w:rsidRPr="00092BBF" w:rsidRDefault="00194E7A" w:rsidP="001A72C1">
      <w:pPr>
        <w:spacing w:after="0" w:line="240" w:lineRule="auto"/>
        <w:contextualSpacing/>
        <w:jc w:val="center"/>
        <w:rPr>
          <w:rStyle w:val="plava"/>
          <w:rFonts w:ascii="Times New Roman" w:hAnsi="Times New Roman" w:cs="Times New Roman"/>
          <w:sz w:val="20"/>
          <w:szCs w:val="20"/>
        </w:rPr>
      </w:pPr>
      <w:r w:rsidRPr="00092BBF">
        <w:rPr>
          <w:rStyle w:val="plava"/>
          <w:rFonts w:ascii="Times New Roman" w:hAnsi="Times New Roman" w:cs="Times New Roman"/>
          <w:sz w:val="20"/>
          <w:szCs w:val="20"/>
          <w:vertAlign w:val="superscript"/>
        </w:rPr>
        <w:t>2</w:t>
      </w:r>
      <w:r w:rsidR="001A72C1" w:rsidRPr="00092BBF">
        <w:rPr>
          <w:rStyle w:val="plava"/>
          <w:rFonts w:ascii="Times New Roman" w:hAnsi="Times New Roman" w:cs="Times New Roman"/>
          <w:sz w:val="20"/>
          <w:szCs w:val="20"/>
          <w:vertAlign w:val="superscript"/>
        </w:rPr>
        <w:t xml:space="preserve"> </w:t>
      </w:r>
      <w:r w:rsidR="001A72C1" w:rsidRPr="00092BBF">
        <w:rPr>
          <w:rStyle w:val="plava"/>
          <w:rFonts w:ascii="Times New Roman" w:hAnsi="Times New Roman" w:cs="Times New Roman"/>
          <w:sz w:val="20"/>
          <w:szCs w:val="20"/>
        </w:rPr>
        <w:t>Higher Business School, Leskovac, SERBIA, janjic.ljubica@vpsle.edu.rs</w:t>
      </w:r>
    </w:p>
    <w:p w:rsidR="001A72C1" w:rsidRPr="00092BBF" w:rsidRDefault="001A72C1" w:rsidP="001A72C1">
      <w:pPr>
        <w:spacing w:after="0" w:line="240" w:lineRule="auto"/>
        <w:contextualSpacing/>
        <w:jc w:val="center"/>
        <w:rPr>
          <w:rFonts w:ascii="Times New Roman" w:hAnsi="Times New Roman" w:cs="Times New Roman"/>
          <w:i/>
          <w:sz w:val="20"/>
        </w:rPr>
      </w:pPr>
    </w:p>
    <w:p w:rsidR="001A72C1" w:rsidRPr="00092BBF" w:rsidRDefault="001A72C1" w:rsidP="001A72C1">
      <w:pPr>
        <w:spacing w:after="0" w:line="240" w:lineRule="auto"/>
        <w:contextualSpacing/>
        <w:jc w:val="center"/>
        <w:rPr>
          <w:rFonts w:ascii="Times New Roman" w:hAnsi="Times New Roman" w:cs="Times New Roman"/>
          <w:sz w:val="20"/>
        </w:rPr>
      </w:pPr>
    </w:p>
    <w:p w:rsidR="001A72C1" w:rsidRPr="00092BBF" w:rsidRDefault="001A72C1" w:rsidP="001A72C1">
      <w:pPr>
        <w:spacing w:after="0" w:line="240" w:lineRule="auto"/>
        <w:contextualSpacing/>
        <w:rPr>
          <w:rFonts w:ascii="Times New Roman" w:hAnsi="Times New Roman" w:cs="Times New Roman"/>
          <w:i/>
          <w:sz w:val="18"/>
          <w:szCs w:val="18"/>
        </w:rPr>
      </w:pPr>
      <w:r w:rsidRPr="00092BBF">
        <w:rPr>
          <w:rFonts w:ascii="Times New Roman" w:hAnsi="Times New Roman" w:cs="Times New Roman"/>
          <w:b/>
          <w:i/>
          <w:sz w:val="18"/>
          <w:szCs w:val="18"/>
        </w:rPr>
        <w:t>Abstract:</w:t>
      </w:r>
      <w:r w:rsidRPr="00092BBF">
        <w:rPr>
          <w:rFonts w:ascii="Times New Roman" w:hAnsi="Times New Roman" w:cs="Times New Roman"/>
          <w:i/>
          <w:sz w:val="18"/>
          <w:szCs w:val="18"/>
        </w:rPr>
        <w:t>Region of Southern and Eastern Serbia has significant natural and anthropogenic tourist values. These values are the basis for the development of tourism in this area. The aim of this work is the analysis of tourist traffic in the region of Southern and Eastern Serbia in the period from 2006 to 2016. This analysis should indicate the scope and the dynamics of tourist traffic in this region, but and in certain districts of region Southern and Eastern Serbia. In addition, will be highlighted guidelines for future tourism development and opportunities for an increase tourist traffic in this region.</w:t>
      </w:r>
    </w:p>
    <w:p w:rsidR="001A72C1" w:rsidRPr="00092BBF" w:rsidRDefault="001A72C1" w:rsidP="001A72C1">
      <w:pPr>
        <w:spacing w:after="0" w:line="240" w:lineRule="auto"/>
        <w:contextualSpacing/>
        <w:rPr>
          <w:rFonts w:ascii="Times New Roman" w:hAnsi="Times New Roman" w:cs="Times New Roman"/>
          <w:b/>
          <w:i/>
          <w:sz w:val="18"/>
        </w:rPr>
      </w:pPr>
    </w:p>
    <w:p w:rsidR="001A72C1" w:rsidRPr="00092BBF" w:rsidRDefault="001A72C1" w:rsidP="001A72C1">
      <w:pPr>
        <w:spacing w:after="0" w:line="240" w:lineRule="auto"/>
        <w:contextualSpacing/>
        <w:rPr>
          <w:rFonts w:ascii="Times New Roman" w:hAnsi="Times New Roman" w:cs="Times New Roman"/>
          <w:i/>
          <w:sz w:val="18"/>
          <w:szCs w:val="18"/>
        </w:rPr>
      </w:pPr>
      <w:r w:rsidRPr="00092BBF">
        <w:rPr>
          <w:rFonts w:ascii="Times New Roman" w:hAnsi="Times New Roman" w:cs="Times New Roman"/>
          <w:b/>
          <w:i/>
          <w:sz w:val="18"/>
          <w:szCs w:val="18"/>
        </w:rPr>
        <w:t xml:space="preserve">Keywords: </w:t>
      </w:r>
      <w:r w:rsidRPr="00092BBF">
        <w:rPr>
          <w:rFonts w:ascii="Times New Roman" w:hAnsi="Times New Roman" w:cs="Times New Roman"/>
          <w:i/>
          <w:sz w:val="18"/>
          <w:szCs w:val="18"/>
        </w:rPr>
        <w:t>tourist traffic, Southern and Eastern Serbia</w:t>
      </w:r>
    </w:p>
    <w:p w:rsidR="001A72C1" w:rsidRPr="00092BBF" w:rsidRDefault="001A72C1" w:rsidP="001A72C1">
      <w:pPr>
        <w:spacing w:after="0" w:line="240" w:lineRule="auto"/>
        <w:contextualSpacing/>
        <w:rPr>
          <w:rFonts w:ascii="Times New Roman" w:hAnsi="Times New Roman" w:cs="Times New Roman"/>
          <w:sz w:val="20"/>
        </w:rPr>
      </w:pPr>
    </w:p>
    <w:p w:rsidR="001A72C1" w:rsidRPr="00092BBF" w:rsidRDefault="001A72C1" w:rsidP="001A72C1">
      <w:pPr>
        <w:spacing w:after="0" w:line="240" w:lineRule="auto"/>
        <w:contextualSpacing/>
        <w:rPr>
          <w:rFonts w:ascii="Times New Roman" w:hAnsi="Times New Roman" w:cs="Times New Roman"/>
          <w:sz w:val="20"/>
          <w:szCs w:val="20"/>
        </w:rPr>
      </w:pPr>
    </w:p>
    <w:p w:rsidR="00D07AC3" w:rsidRPr="00092BBF" w:rsidRDefault="00343966" w:rsidP="001A72C1">
      <w:pPr>
        <w:spacing w:after="0" w:line="240" w:lineRule="auto"/>
        <w:contextualSpacing/>
        <w:rPr>
          <w:rFonts w:ascii="Times New Roman" w:hAnsi="Times New Roman" w:cs="Times New Roman"/>
          <w:b/>
        </w:rPr>
      </w:pPr>
      <w:r w:rsidRPr="00092BBF">
        <w:rPr>
          <w:rFonts w:ascii="Times New Roman" w:hAnsi="Times New Roman" w:cs="Times New Roman"/>
          <w:b/>
        </w:rPr>
        <w:t>INTRODUCTION</w:t>
      </w:r>
    </w:p>
    <w:p w:rsidR="00343966" w:rsidRPr="00092BBF" w:rsidRDefault="00343966" w:rsidP="001A72C1">
      <w:pPr>
        <w:spacing w:after="0" w:line="240" w:lineRule="auto"/>
        <w:contextualSpacing/>
        <w:rPr>
          <w:rFonts w:ascii="Times New Roman" w:hAnsi="Times New Roman" w:cs="Times New Roman"/>
          <w:sz w:val="20"/>
          <w:szCs w:val="20"/>
        </w:rPr>
      </w:pPr>
    </w:p>
    <w:p w:rsidR="00F63D88" w:rsidRPr="00092BBF" w:rsidRDefault="00343966"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t>The region of South</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and East</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Serbia has diverse and rich tourist values</w:t>
      </w:r>
      <w:r w:rsidR="00D07AC3" w:rsidRPr="00092BBF">
        <w:rPr>
          <w:rFonts w:ascii="Times New Roman" w:hAnsi="Times New Roman" w:cs="Times New Roman"/>
          <w:sz w:val="20"/>
          <w:szCs w:val="20"/>
        </w:rPr>
        <w:t xml:space="preserve">. </w:t>
      </w:r>
      <w:r w:rsidRPr="00092BBF">
        <w:rPr>
          <w:rFonts w:ascii="Times New Roman" w:hAnsi="Times New Roman" w:cs="Times New Roman"/>
          <w:sz w:val="20"/>
          <w:szCs w:val="20"/>
        </w:rPr>
        <w:t>These values represent a unique potential for tourism development in this region</w:t>
      </w:r>
      <w:r w:rsidR="00D07AC3" w:rsidRPr="00092BBF">
        <w:rPr>
          <w:rFonts w:ascii="Times New Roman" w:hAnsi="Times New Roman" w:cs="Times New Roman"/>
          <w:sz w:val="20"/>
          <w:szCs w:val="20"/>
        </w:rPr>
        <w:t xml:space="preserve">. </w:t>
      </w:r>
      <w:r w:rsidRPr="00092BBF">
        <w:rPr>
          <w:rFonts w:ascii="Times New Roman" w:hAnsi="Times New Roman" w:cs="Times New Roman"/>
          <w:sz w:val="20"/>
          <w:szCs w:val="20"/>
        </w:rPr>
        <w:t>Attractive geomorphological values, favorable climatic conditions, significant hydrological potential, diverse flora and fauna, rich cultural and historical heritage, ethnographic and manifestation tourist values provide opportunities for the development of various forms of tourism in this area</w:t>
      </w:r>
      <w:r w:rsidR="00D07AC3" w:rsidRPr="00092BBF">
        <w:rPr>
          <w:rFonts w:ascii="Times New Roman" w:hAnsi="Times New Roman" w:cs="Times New Roman"/>
          <w:sz w:val="20"/>
          <w:szCs w:val="20"/>
        </w:rPr>
        <w:t>.</w:t>
      </w:r>
      <w:r w:rsidRPr="00092BBF">
        <w:rPr>
          <w:rFonts w:ascii="Times New Roman" w:hAnsi="Times New Roman" w:cs="Times New Roman"/>
          <w:sz w:val="20"/>
          <w:szCs w:val="20"/>
        </w:rPr>
        <w:t>The aim of this study is the analysis of tourist traffic in the region of South</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and East</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Serbia</w:t>
      </w:r>
      <w:r w:rsidR="00E70053" w:rsidRPr="00092BBF">
        <w:rPr>
          <w:rFonts w:ascii="Times New Roman" w:hAnsi="Times New Roman" w:cs="Times New Roman"/>
          <w:sz w:val="20"/>
          <w:szCs w:val="20"/>
        </w:rPr>
        <w:t xml:space="preserve">. </w:t>
      </w:r>
      <w:r w:rsidRPr="00092BBF">
        <w:rPr>
          <w:rFonts w:ascii="Times New Roman" w:hAnsi="Times New Roman" w:cs="Times New Roman"/>
          <w:sz w:val="20"/>
          <w:szCs w:val="20"/>
        </w:rPr>
        <w:t xml:space="preserve">Besides that, will be emphasized measures and activities which will attract a greater number of domestic and foreign tourists in the destinations of the </w:t>
      </w:r>
      <w:r w:rsidR="006812D1" w:rsidRPr="00092BBF">
        <w:rPr>
          <w:rFonts w:ascii="Times New Roman" w:hAnsi="Times New Roman" w:cs="Times New Roman"/>
          <w:sz w:val="20"/>
          <w:szCs w:val="20"/>
        </w:rPr>
        <w:t xml:space="preserve">region </w:t>
      </w:r>
      <w:r w:rsidRPr="00092BBF">
        <w:rPr>
          <w:rFonts w:ascii="Times New Roman" w:hAnsi="Times New Roman" w:cs="Times New Roman"/>
          <w:sz w:val="20"/>
          <w:szCs w:val="20"/>
        </w:rPr>
        <w:t>South</w:t>
      </w:r>
      <w:r w:rsidR="006812D1" w:rsidRPr="00092BBF">
        <w:rPr>
          <w:rFonts w:ascii="Times New Roman" w:hAnsi="Times New Roman" w:cs="Times New Roman"/>
          <w:sz w:val="20"/>
          <w:szCs w:val="20"/>
        </w:rPr>
        <w:t>ern</w:t>
      </w:r>
      <w:r w:rsidRPr="00092BBF">
        <w:rPr>
          <w:rFonts w:ascii="Times New Roman" w:hAnsi="Times New Roman" w:cs="Times New Roman"/>
          <w:sz w:val="20"/>
          <w:szCs w:val="20"/>
        </w:rPr>
        <w:t xml:space="preserve"> and East</w:t>
      </w:r>
      <w:r w:rsidR="006812D1" w:rsidRPr="00092BBF">
        <w:rPr>
          <w:rFonts w:ascii="Times New Roman" w:hAnsi="Times New Roman" w:cs="Times New Roman"/>
          <w:sz w:val="20"/>
          <w:szCs w:val="20"/>
        </w:rPr>
        <w:t>ern Serbia</w:t>
      </w:r>
      <w:r w:rsidR="00E70053" w:rsidRPr="00092BBF">
        <w:rPr>
          <w:rFonts w:ascii="Times New Roman" w:hAnsi="Times New Roman" w:cs="Times New Roman"/>
          <w:sz w:val="20"/>
          <w:szCs w:val="20"/>
        </w:rPr>
        <w:t xml:space="preserve">. </w:t>
      </w:r>
      <w:r w:rsidR="00A009CB" w:rsidRPr="00092BBF">
        <w:rPr>
          <w:rFonts w:ascii="Times New Roman" w:hAnsi="Times New Roman" w:cs="Times New Roman"/>
          <w:sz w:val="20"/>
          <w:szCs w:val="20"/>
        </w:rPr>
        <w:t>These measures and activities should enable faster development of tourism in this area, while respecting the principles of sustainable development.</w:t>
      </w:r>
    </w:p>
    <w:p w:rsidR="00F63D88" w:rsidRPr="00092BBF" w:rsidRDefault="00F63D88" w:rsidP="001A72C1">
      <w:pPr>
        <w:spacing w:after="0" w:line="240" w:lineRule="auto"/>
        <w:contextualSpacing/>
        <w:jc w:val="center"/>
        <w:rPr>
          <w:rFonts w:ascii="Times New Roman" w:hAnsi="Times New Roman" w:cs="Times New Roman"/>
          <w:b/>
          <w:sz w:val="20"/>
          <w:szCs w:val="20"/>
        </w:rPr>
      </w:pPr>
    </w:p>
    <w:p w:rsidR="00D07AC3" w:rsidRPr="00092BBF" w:rsidRDefault="002F373E" w:rsidP="00D07AC3">
      <w:pPr>
        <w:spacing w:after="0" w:line="240" w:lineRule="auto"/>
        <w:contextualSpacing/>
        <w:rPr>
          <w:rFonts w:ascii="Times New Roman" w:hAnsi="Times New Roman" w:cs="Times New Roman"/>
          <w:b/>
        </w:rPr>
      </w:pPr>
      <w:r w:rsidRPr="00092BBF">
        <w:rPr>
          <w:rFonts w:ascii="Times New Roman" w:hAnsi="Times New Roman" w:cs="Times New Roman"/>
          <w:b/>
        </w:rPr>
        <w:t>Characteristics of the region Southern and Eastern Serbia</w:t>
      </w:r>
    </w:p>
    <w:p w:rsidR="002F373E" w:rsidRPr="00092BBF" w:rsidRDefault="002F373E" w:rsidP="00D07AC3">
      <w:pPr>
        <w:spacing w:after="0" w:line="240" w:lineRule="auto"/>
        <w:contextualSpacing/>
        <w:rPr>
          <w:rFonts w:ascii="Times New Roman" w:hAnsi="Times New Roman" w:cs="Times New Roman"/>
          <w:b/>
          <w:sz w:val="20"/>
          <w:szCs w:val="20"/>
        </w:rPr>
      </w:pPr>
    </w:p>
    <w:p w:rsidR="00344D85" w:rsidRPr="00092BBF" w:rsidRDefault="006E0991"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t>The region of Southern and Eastern Serbia located in the southeastern part of Serbia</w:t>
      </w:r>
      <w:r w:rsidR="00E70053" w:rsidRPr="00092BBF">
        <w:rPr>
          <w:rFonts w:ascii="Times New Roman" w:hAnsi="Times New Roman" w:cs="Times New Roman"/>
          <w:sz w:val="20"/>
          <w:szCs w:val="20"/>
        </w:rPr>
        <w:t xml:space="preserve">. </w:t>
      </w:r>
      <w:r w:rsidRPr="00092BBF">
        <w:rPr>
          <w:rFonts w:ascii="Times New Roman" w:hAnsi="Times New Roman" w:cs="Times New Roman"/>
          <w:sz w:val="20"/>
          <w:szCs w:val="20"/>
        </w:rPr>
        <w:t xml:space="preserve">The area of this region is 26.248 </w:t>
      </w:r>
      <w:r w:rsidR="006812D1" w:rsidRPr="00092BBF">
        <w:rPr>
          <w:rFonts w:ascii="Times New Roman" w:hAnsi="Times New Roman" w:cs="Times New Roman"/>
          <w:sz w:val="20"/>
          <w:szCs w:val="20"/>
        </w:rPr>
        <w:t>square kilometer</w:t>
      </w:r>
      <w:r w:rsidRPr="00092BBF">
        <w:rPr>
          <w:rFonts w:ascii="Times New Roman" w:hAnsi="Times New Roman" w:cs="Times New Roman"/>
          <w:sz w:val="20"/>
          <w:szCs w:val="20"/>
        </w:rPr>
        <w:t>, which is 29.7% territory of the Republic of Serbia</w:t>
      </w:r>
      <w:r w:rsidR="00344D85" w:rsidRPr="00092BBF">
        <w:rPr>
          <w:rFonts w:ascii="Times New Roman" w:hAnsi="Times New Roman" w:cs="Times New Roman"/>
          <w:sz w:val="20"/>
          <w:szCs w:val="20"/>
        </w:rPr>
        <w:t xml:space="preserve">. </w:t>
      </w:r>
      <w:r w:rsidR="002152F6" w:rsidRPr="00092BBF">
        <w:rPr>
          <w:rFonts w:ascii="Times New Roman" w:hAnsi="Times New Roman" w:cs="Times New Roman"/>
          <w:sz w:val="20"/>
          <w:szCs w:val="20"/>
        </w:rPr>
        <w:t>This region is composed of 9 districts, 6 towns, 9 city municipalities, 41 municipalities, 1,973 settlements, 46 urban settlements</w:t>
      </w:r>
      <w:r w:rsidR="00E70053" w:rsidRPr="00092BBF">
        <w:rPr>
          <w:rFonts w:ascii="Times New Roman" w:hAnsi="Times New Roman" w:cs="Times New Roman"/>
          <w:sz w:val="20"/>
          <w:szCs w:val="20"/>
        </w:rPr>
        <w:t xml:space="preserve"> (</w:t>
      </w:r>
      <w:r w:rsidRPr="00092BBF">
        <w:rPr>
          <w:rFonts w:ascii="Times New Roman" w:hAnsi="Times New Roman" w:cs="Times New Roman"/>
          <w:sz w:val="20"/>
          <w:szCs w:val="20"/>
        </w:rPr>
        <w:t>Statistical Yearbook of the Republic of Serbia</w:t>
      </w:r>
      <w:r w:rsidR="00E70053" w:rsidRPr="00092BBF">
        <w:rPr>
          <w:rFonts w:ascii="Times New Roman" w:hAnsi="Times New Roman" w:cs="Times New Roman"/>
          <w:sz w:val="20"/>
          <w:szCs w:val="20"/>
        </w:rPr>
        <w:t xml:space="preserve">, 2016). </w:t>
      </w:r>
    </w:p>
    <w:p w:rsidR="00344D85" w:rsidRPr="00092BBF" w:rsidRDefault="00344D85" w:rsidP="001A72C1">
      <w:pPr>
        <w:spacing w:after="0" w:line="240" w:lineRule="auto"/>
        <w:contextualSpacing/>
        <w:rPr>
          <w:rFonts w:ascii="Times New Roman" w:hAnsi="Times New Roman" w:cs="Times New Roman"/>
          <w:sz w:val="20"/>
          <w:szCs w:val="20"/>
        </w:rPr>
      </w:pPr>
    </w:p>
    <w:p w:rsidR="00344D85" w:rsidRPr="00092BBF" w:rsidRDefault="00344D85" w:rsidP="00344D85">
      <w:pPr>
        <w:spacing w:after="0" w:line="240" w:lineRule="auto"/>
        <w:contextualSpacing/>
        <w:jc w:val="center"/>
        <w:rPr>
          <w:rFonts w:ascii="Times New Roman" w:hAnsi="Times New Roman" w:cs="Times New Roman"/>
          <w:sz w:val="20"/>
          <w:szCs w:val="20"/>
        </w:rPr>
      </w:pPr>
      <w:r w:rsidRPr="00092BBF">
        <w:rPr>
          <w:rFonts w:ascii="Times New Roman" w:hAnsi="Times New Roman" w:cs="Times New Roman"/>
          <w:noProof/>
          <w:sz w:val="20"/>
          <w:szCs w:val="20"/>
        </w:rPr>
        <w:drawing>
          <wp:inline distT="0" distB="0" distL="0" distR="0">
            <wp:extent cx="3276600" cy="2581275"/>
            <wp:effectExtent l="19050" t="0" r="0" b="0"/>
            <wp:docPr id="6" name="Picture 1" descr="http://www.lokalnirazvoj.org/upload/Book/Document/2012_03/Southern_and_Eastern_Serbia_R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kalnirazvoj.org/upload/Book/Document/2012_03/Southern_and_Eastern_Serbia_Region.jpg"/>
                    <pic:cNvPicPr>
                      <a:picLocks noChangeAspect="1" noChangeArrowheads="1"/>
                    </pic:cNvPicPr>
                  </pic:nvPicPr>
                  <pic:blipFill>
                    <a:blip r:embed="rId8" cstate="print"/>
                    <a:srcRect/>
                    <a:stretch>
                      <a:fillRect/>
                    </a:stretch>
                  </pic:blipFill>
                  <pic:spPr bwMode="auto">
                    <a:xfrm>
                      <a:off x="0" y="0"/>
                      <a:ext cx="3282533" cy="2585949"/>
                    </a:xfrm>
                    <a:prstGeom prst="rect">
                      <a:avLst/>
                    </a:prstGeom>
                    <a:noFill/>
                    <a:ln w="9525">
                      <a:noFill/>
                      <a:miter lim="800000"/>
                      <a:headEnd/>
                      <a:tailEnd/>
                    </a:ln>
                  </pic:spPr>
                </pic:pic>
              </a:graphicData>
            </a:graphic>
          </wp:inline>
        </w:drawing>
      </w:r>
    </w:p>
    <w:p w:rsidR="00344D85" w:rsidRPr="00092BBF" w:rsidRDefault="00160DD4" w:rsidP="00344D85">
      <w:pPr>
        <w:pStyle w:val="Default"/>
        <w:spacing w:after="120"/>
        <w:jc w:val="center"/>
        <w:rPr>
          <w:color w:val="auto"/>
          <w:sz w:val="20"/>
          <w:szCs w:val="20"/>
        </w:rPr>
      </w:pPr>
      <w:r w:rsidRPr="00092BBF">
        <w:rPr>
          <w:color w:val="auto"/>
          <w:sz w:val="20"/>
          <w:szCs w:val="20"/>
        </w:rPr>
        <w:t xml:space="preserve">Figure 1: Map of the South and East Serbia </w:t>
      </w:r>
      <w:r w:rsidR="00F069C5" w:rsidRPr="00092BBF">
        <w:rPr>
          <w:color w:val="auto"/>
          <w:sz w:val="20"/>
          <w:szCs w:val="20"/>
        </w:rPr>
        <w:t xml:space="preserve">region </w:t>
      </w:r>
      <w:r w:rsidRPr="00092BBF">
        <w:rPr>
          <w:color w:val="auto"/>
          <w:sz w:val="20"/>
          <w:szCs w:val="20"/>
        </w:rPr>
        <w:t>(source: Institute for Territorial Economic Development (InTER), available at</w:t>
      </w:r>
      <w:r w:rsidR="00344D85" w:rsidRPr="00092BBF">
        <w:rPr>
          <w:color w:val="auto"/>
          <w:sz w:val="20"/>
          <w:szCs w:val="20"/>
        </w:rPr>
        <w:t xml:space="preserve"> http://www.lokalnirazvoj.org/sr/books/details/23</w:t>
      </w:r>
    </w:p>
    <w:p w:rsidR="00344D85" w:rsidRPr="00092BBF" w:rsidRDefault="00344D85" w:rsidP="00344D85">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lastRenderedPageBreak/>
        <w:t xml:space="preserve">According to the 2011 population census, </w:t>
      </w:r>
      <w:r w:rsidR="00FF13E7" w:rsidRPr="00092BBF">
        <w:rPr>
          <w:rFonts w:ascii="Times New Roman" w:hAnsi="Times New Roman" w:cs="Times New Roman"/>
          <w:sz w:val="20"/>
          <w:szCs w:val="20"/>
        </w:rPr>
        <w:t>on the basis of data by the Republic Institute for Statistics - Republic of Serbia</w:t>
      </w:r>
      <w:r w:rsidR="008E216B" w:rsidRPr="00092BBF">
        <w:rPr>
          <w:rFonts w:ascii="Times New Roman" w:hAnsi="Times New Roman" w:cs="Times New Roman"/>
          <w:sz w:val="20"/>
          <w:szCs w:val="20"/>
        </w:rPr>
        <w:t xml:space="preserve">, </w:t>
      </w:r>
      <w:r w:rsidRPr="00092BBF">
        <w:rPr>
          <w:rFonts w:ascii="Times New Roman" w:hAnsi="Times New Roman" w:cs="Times New Roman"/>
          <w:sz w:val="20"/>
          <w:szCs w:val="20"/>
        </w:rPr>
        <w:t>7.186.862 residents live on the territory of the Republic of Serbia, w</w:t>
      </w:r>
      <w:r w:rsidR="008E216B" w:rsidRPr="00092BBF">
        <w:rPr>
          <w:rFonts w:ascii="Times New Roman" w:hAnsi="Times New Roman" w:cs="Times New Roman"/>
          <w:sz w:val="20"/>
          <w:szCs w:val="20"/>
        </w:rPr>
        <w:t>hose average age is 42.2 years (</w:t>
      </w:r>
      <w:r w:rsidR="00FF13E7" w:rsidRPr="00092BBF">
        <w:rPr>
          <w:rFonts w:ascii="Times New Roman" w:hAnsi="Times New Roman" w:cs="Times New Roman"/>
          <w:sz w:val="20"/>
          <w:szCs w:val="20"/>
        </w:rPr>
        <w:t>these data do not include the number of inhabitants in the territory of the Autonomous Province of Kosovo and Metohija</w:t>
      </w:r>
      <w:r w:rsidR="008E216B" w:rsidRPr="00092BBF">
        <w:rPr>
          <w:rFonts w:ascii="Times New Roman" w:hAnsi="Times New Roman" w:cs="Times New Roman"/>
          <w:sz w:val="20"/>
          <w:szCs w:val="20"/>
        </w:rPr>
        <w:t xml:space="preserve">). </w:t>
      </w:r>
      <w:r w:rsidRPr="00092BBF">
        <w:rPr>
          <w:rFonts w:ascii="Times New Roman" w:hAnsi="Times New Roman" w:cs="Times New Roman"/>
          <w:sz w:val="20"/>
          <w:szCs w:val="20"/>
        </w:rPr>
        <w:t>Of the total population in the Republic of Serbia, in the region of Southern and Eastern Serbia live 1.563.916 residents (21.76%), whose average age is 43.3 years. Table 1 shows the number of residents and the average age of the population in districts of the region of Southern and Eastern Serbia. Based on the data from the table it can be seen that in this region the biggest number of residents in the Danube District (199.395 residents) and the smallest number of residents in the Toplica District (91.754 residents). The average age of the population ranges from 40.6 years in the Pcinja District to 46.7 years in the Zajecar District.</w:t>
      </w:r>
    </w:p>
    <w:p w:rsidR="00344D85" w:rsidRPr="00092BBF" w:rsidRDefault="00344D85" w:rsidP="00344D85">
      <w:pPr>
        <w:spacing w:after="0" w:line="240" w:lineRule="auto"/>
        <w:contextualSpacing/>
        <w:rPr>
          <w:rFonts w:ascii="Times New Roman" w:hAnsi="Times New Roman" w:cs="Times New Roman"/>
          <w:sz w:val="20"/>
          <w:szCs w:val="20"/>
        </w:rPr>
      </w:pPr>
    </w:p>
    <w:p w:rsidR="0014058A" w:rsidRPr="00092BBF" w:rsidRDefault="0014058A" w:rsidP="001A72C1">
      <w:pPr>
        <w:spacing w:after="0" w:line="240" w:lineRule="auto"/>
        <w:contextualSpacing/>
        <w:rPr>
          <w:rFonts w:ascii="Times New Roman" w:hAnsi="Times New Roman" w:cs="Times New Roman"/>
          <w:sz w:val="20"/>
          <w:szCs w:val="20"/>
        </w:rPr>
      </w:pPr>
    </w:p>
    <w:p w:rsidR="00F63D88" w:rsidRPr="00092BBF" w:rsidRDefault="00D0461C" w:rsidP="001A72C1">
      <w:pPr>
        <w:spacing w:after="0" w:line="240" w:lineRule="auto"/>
        <w:contextualSpacing/>
        <w:jc w:val="center"/>
        <w:rPr>
          <w:rFonts w:ascii="Times New Roman" w:hAnsi="Times New Roman" w:cs="Times New Roman"/>
          <w:sz w:val="20"/>
          <w:szCs w:val="20"/>
        </w:rPr>
      </w:pPr>
      <w:r w:rsidRPr="00092BBF">
        <w:rPr>
          <w:rFonts w:ascii="Times New Roman" w:hAnsi="Times New Roman" w:cs="Times New Roman"/>
          <w:b/>
          <w:sz w:val="20"/>
          <w:szCs w:val="20"/>
        </w:rPr>
        <w:t>Table</w:t>
      </w:r>
      <w:r w:rsidR="00F63D88" w:rsidRPr="00092BBF">
        <w:rPr>
          <w:rFonts w:ascii="Times New Roman" w:hAnsi="Times New Roman" w:cs="Times New Roman"/>
          <w:b/>
          <w:sz w:val="20"/>
          <w:szCs w:val="20"/>
        </w:rPr>
        <w:t xml:space="preserve"> 1</w:t>
      </w:r>
      <w:r w:rsidR="00CF5EBA" w:rsidRPr="00092BBF">
        <w:rPr>
          <w:rFonts w:ascii="Times New Roman" w:hAnsi="Times New Roman" w:cs="Times New Roman"/>
          <w:b/>
          <w:sz w:val="20"/>
          <w:szCs w:val="20"/>
        </w:rPr>
        <w:t xml:space="preserve">: </w:t>
      </w:r>
      <w:r w:rsidRPr="00092BBF">
        <w:rPr>
          <w:rFonts w:ascii="Times New Roman" w:hAnsi="Times New Roman" w:cs="Times New Roman"/>
          <w:sz w:val="20"/>
          <w:szCs w:val="20"/>
        </w:rPr>
        <w:t xml:space="preserve">Number of residents </w:t>
      </w:r>
      <w:r w:rsidR="00D62135" w:rsidRPr="00092BBF">
        <w:rPr>
          <w:rFonts w:ascii="Times New Roman" w:hAnsi="Times New Roman" w:cs="Times New Roman"/>
          <w:sz w:val="20"/>
          <w:szCs w:val="20"/>
        </w:rPr>
        <w:t>and average age of population in districts of the</w:t>
      </w:r>
      <w:r w:rsidRPr="00092BBF">
        <w:rPr>
          <w:rFonts w:ascii="Times New Roman" w:hAnsi="Times New Roman" w:cs="Times New Roman"/>
          <w:sz w:val="20"/>
          <w:szCs w:val="20"/>
        </w:rPr>
        <w:t xml:space="preserve"> region of South</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and East</w:t>
      </w:r>
      <w:r w:rsidR="002F373E" w:rsidRPr="00092BBF">
        <w:rPr>
          <w:rFonts w:ascii="Times New Roman" w:hAnsi="Times New Roman" w:cs="Times New Roman"/>
          <w:sz w:val="20"/>
          <w:szCs w:val="20"/>
        </w:rPr>
        <w:t>ern</w:t>
      </w:r>
      <w:r w:rsidRPr="00092BBF">
        <w:rPr>
          <w:rFonts w:ascii="Times New Roman" w:hAnsi="Times New Roman" w:cs="Times New Roman"/>
          <w:sz w:val="20"/>
          <w:szCs w:val="20"/>
        </w:rPr>
        <w:t xml:space="preserve"> Serbia </w:t>
      </w:r>
      <w:r w:rsidR="00212496" w:rsidRPr="00092BBF">
        <w:rPr>
          <w:rFonts w:ascii="Times New Roman" w:hAnsi="Times New Roman" w:cs="Times New Roman"/>
          <w:sz w:val="20"/>
          <w:szCs w:val="20"/>
        </w:rPr>
        <w:t xml:space="preserve">- </w:t>
      </w:r>
      <w:r w:rsidR="005F3A57" w:rsidRPr="00092BBF">
        <w:rPr>
          <w:rFonts w:ascii="Times New Roman" w:hAnsi="Times New Roman" w:cs="Times New Roman"/>
          <w:sz w:val="20"/>
          <w:szCs w:val="20"/>
        </w:rPr>
        <w:t>c</w:t>
      </w:r>
      <w:r w:rsidR="002F373E" w:rsidRPr="00092BBF">
        <w:rPr>
          <w:rFonts w:ascii="Times New Roman" w:hAnsi="Times New Roman" w:cs="Times New Roman"/>
          <w:sz w:val="20"/>
          <w:szCs w:val="20"/>
        </w:rPr>
        <w:t>ensus of population in</w:t>
      </w:r>
      <w:r w:rsidRPr="00092BBF">
        <w:rPr>
          <w:rFonts w:ascii="Times New Roman" w:hAnsi="Times New Roman" w:cs="Times New Roman"/>
          <w:sz w:val="20"/>
          <w:szCs w:val="20"/>
        </w:rPr>
        <w:t xml:space="preserve"> 2011 </w:t>
      </w:r>
      <w:r w:rsidR="00212496" w:rsidRPr="00092BBF">
        <w:rPr>
          <w:rFonts w:ascii="Times New Roman" w:hAnsi="Times New Roman" w:cs="Times New Roman"/>
          <w:sz w:val="20"/>
          <w:szCs w:val="20"/>
        </w:rPr>
        <w:t>(</w:t>
      </w:r>
      <w:r w:rsidR="005F3A57" w:rsidRPr="00092BBF">
        <w:rPr>
          <w:rFonts w:ascii="Times New Roman" w:hAnsi="Times New Roman" w:cs="Times New Roman"/>
          <w:sz w:val="20"/>
          <w:szCs w:val="20"/>
        </w:rPr>
        <w:t>source: author</w:t>
      </w:r>
      <w:r w:rsidR="000F68B0" w:rsidRPr="00092BBF">
        <w:rPr>
          <w:rFonts w:ascii="Times New Roman" w:hAnsi="Times New Roman" w:cs="Times New Roman"/>
          <w:sz w:val="20"/>
          <w:szCs w:val="20"/>
        </w:rPr>
        <w:t>s</w:t>
      </w:r>
      <w:r w:rsidR="005F3A57" w:rsidRPr="00092BBF">
        <w:rPr>
          <w:rFonts w:ascii="Times New Roman" w:hAnsi="Times New Roman" w:cs="Times New Roman"/>
          <w:sz w:val="20"/>
          <w:szCs w:val="20"/>
        </w:rPr>
        <w:t xml:space="preserve"> based on the data of Statistical Office of the Republic of Serbia</w:t>
      </w:r>
      <w:r w:rsidR="00212496" w:rsidRPr="00092BBF">
        <w:rPr>
          <w:rFonts w:ascii="Times New Roman" w:hAnsi="Times New Roman" w:cs="Times New Roman"/>
          <w:sz w:val="20"/>
          <w:szCs w:val="20"/>
        </w:rPr>
        <w:t>)</w:t>
      </w:r>
    </w:p>
    <w:tbl>
      <w:tblPr>
        <w:tblStyle w:val="TableGrid"/>
        <w:tblW w:w="0" w:type="auto"/>
        <w:jc w:val="center"/>
        <w:tblLook w:val="04A0"/>
      </w:tblPr>
      <w:tblGrid>
        <w:gridCol w:w="2518"/>
        <w:gridCol w:w="2126"/>
        <w:gridCol w:w="3828"/>
      </w:tblGrid>
      <w:tr w:rsidR="00F63D88" w:rsidRPr="00092BBF" w:rsidTr="005850ED">
        <w:trPr>
          <w:jc w:val="center"/>
        </w:trPr>
        <w:tc>
          <w:tcPr>
            <w:tcW w:w="2518" w:type="dxa"/>
          </w:tcPr>
          <w:p w:rsidR="00F63D88" w:rsidRPr="00092BBF" w:rsidRDefault="005F3A57" w:rsidP="001A72C1">
            <w:pPr>
              <w:contextualSpacing/>
              <w:rPr>
                <w:rFonts w:ascii="Times New Roman" w:hAnsi="Times New Roman" w:cs="Times New Roman"/>
                <w:sz w:val="20"/>
                <w:szCs w:val="20"/>
              </w:rPr>
            </w:pPr>
            <w:r w:rsidRPr="00092BBF">
              <w:rPr>
                <w:rFonts w:ascii="Times New Roman" w:hAnsi="Times New Roman" w:cs="Times New Roman"/>
                <w:sz w:val="20"/>
                <w:szCs w:val="20"/>
              </w:rPr>
              <w:t>District</w:t>
            </w:r>
          </w:p>
        </w:tc>
        <w:tc>
          <w:tcPr>
            <w:tcW w:w="2126" w:type="dxa"/>
          </w:tcPr>
          <w:p w:rsidR="00F63D88" w:rsidRPr="00092BBF" w:rsidRDefault="005F3A57" w:rsidP="001A72C1">
            <w:pPr>
              <w:contextualSpacing/>
              <w:rPr>
                <w:rFonts w:ascii="Times New Roman" w:hAnsi="Times New Roman" w:cs="Times New Roman"/>
                <w:sz w:val="20"/>
                <w:szCs w:val="20"/>
              </w:rPr>
            </w:pPr>
            <w:r w:rsidRPr="00092BBF">
              <w:rPr>
                <w:rFonts w:ascii="Times New Roman" w:hAnsi="Times New Roman" w:cs="Times New Roman"/>
                <w:sz w:val="20"/>
                <w:szCs w:val="20"/>
              </w:rPr>
              <w:t>Number of residents</w:t>
            </w:r>
          </w:p>
        </w:tc>
        <w:tc>
          <w:tcPr>
            <w:tcW w:w="3828" w:type="dxa"/>
          </w:tcPr>
          <w:p w:rsidR="00F63D88" w:rsidRPr="00092BBF" w:rsidRDefault="005F3A57" w:rsidP="001A72C1">
            <w:pPr>
              <w:contextualSpacing/>
              <w:rPr>
                <w:rFonts w:ascii="Times New Roman" w:hAnsi="Times New Roman" w:cs="Times New Roman"/>
                <w:sz w:val="20"/>
                <w:szCs w:val="20"/>
              </w:rPr>
            </w:pPr>
            <w:r w:rsidRPr="00092BBF">
              <w:rPr>
                <w:rFonts w:ascii="Times New Roman" w:hAnsi="Times New Roman" w:cs="Times New Roman"/>
                <w:sz w:val="20"/>
                <w:szCs w:val="20"/>
              </w:rPr>
              <w:t>Average age of the population</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Danube D</w:t>
            </w:r>
            <w:r w:rsidR="0012215D"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199.395</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41,9</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Branicevo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183.625</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44,3</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Bor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124.992</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44,7</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Zajecar D</w:t>
            </w:r>
            <w:r w:rsidR="00F879BB"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119.967</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46,7</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Pirot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92.479</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45,4</w:t>
            </w:r>
          </w:p>
        </w:tc>
      </w:tr>
      <w:tr w:rsidR="00F63D88" w:rsidRPr="00092BBF" w:rsidTr="005850ED">
        <w:trPr>
          <w:jc w:val="center"/>
        </w:trPr>
        <w:tc>
          <w:tcPr>
            <w:tcW w:w="2518" w:type="dxa"/>
          </w:tcPr>
          <w:p w:rsidR="00F63D88" w:rsidRPr="00092BBF" w:rsidRDefault="006347AD" w:rsidP="006347AD">
            <w:pPr>
              <w:contextualSpacing/>
              <w:rPr>
                <w:rFonts w:ascii="Times New Roman" w:hAnsi="Times New Roman" w:cs="Times New Roman"/>
                <w:sz w:val="20"/>
                <w:szCs w:val="20"/>
              </w:rPr>
            </w:pPr>
            <w:r w:rsidRPr="00092BBF">
              <w:rPr>
                <w:rFonts w:ascii="Times New Roman" w:hAnsi="Times New Roman" w:cs="Times New Roman"/>
                <w:sz w:val="20"/>
                <w:szCs w:val="20"/>
              </w:rPr>
              <w:t>Nis District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376.319</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43,0</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Toplica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91.754</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43,1</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Jablanica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216.304</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42,4</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Pcinja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159.081</w:t>
            </w:r>
          </w:p>
        </w:tc>
        <w:tc>
          <w:tcPr>
            <w:tcW w:w="3828"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40,6</w:t>
            </w:r>
          </w:p>
        </w:tc>
      </w:tr>
    </w:tbl>
    <w:p w:rsidR="00E22910" w:rsidRPr="00092BBF" w:rsidRDefault="00E22910" w:rsidP="001A72C1">
      <w:pPr>
        <w:spacing w:after="0" w:line="240" w:lineRule="auto"/>
        <w:contextualSpacing/>
        <w:jc w:val="center"/>
        <w:rPr>
          <w:rFonts w:ascii="Times New Roman" w:hAnsi="Times New Roman" w:cs="Times New Roman"/>
          <w:b/>
          <w:sz w:val="20"/>
          <w:szCs w:val="20"/>
        </w:rPr>
      </w:pPr>
    </w:p>
    <w:p w:rsidR="00F63D88" w:rsidRPr="00092BBF" w:rsidRDefault="00D0461C" w:rsidP="001A72C1">
      <w:pPr>
        <w:spacing w:after="0" w:line="240" w:lineRule="auto"/>
        <w:contextualSpacing/>
        <w:jc w:val="center"/>
        <w:rPr>
          <w:rFonts w:ascii="Times New Roman" w:hAnsi="Times New Roman" w:cs="Times New Roman"/>
          <w:sz w:val="20"/>
          <w:szCs w:val="20"/>
        </w:rPr>
      </w:pPr>
      <w:r w:rsidRPr="00092BBF">
        <w:rPr>
          <w:rFonts w:ascii="Times New Roman" w:hAnsi="Times New Roman" w:cs="Times New Roman"/>
          <w:b/>
          <w:sz w:val="20"/>
          <w:szCs w:val="20"/>
        </w:rPr>
        <w:t>Table</w:t>
      </w:r>
      <w:r w:rsidR="00F63D88" w:rsidRPr="00092BBF">
        <w:rPr>
          <w:rFonts w:ascii="Times New Roman" w:hAnsi="Times New Roman" w:cs="Times New Roman"/>
          <w:b/>
          <w:sz w:val="20"/>
          <w:szCs w:val="20"/>
        </w:rPr>
        <w:t xml:space="preserve"> 2</w:t>
      </w:r>
      <w:r w:rsidR="00CF5EBA" w:rsidRPr="00092BBF">
        <w:rPr>
          <w:rFonts w:ascii="Times New Roman" w:hAnsi="Times New Roman" w:cs="Times New Roman"/>
          <w:b/>
          <w:sz w:val="20"/>
          <w:szCs w:val="20"/>
        </w:rPr>
        <w:t>:</w:t>
      </w:r>
      <w:r w:rsidR="005F3A57" w:rsidRPr="00092BBF">
        <w:rPr>
          <w:rFonts w:ascii="Times New Roman" w:hAnsi="Times New Roman" w:cs="Times New Roman"/>
          <w:sz w:val="20"/>
          <w:szCs w:val="20"/>
        </w:rPr>
        <w:t>P</w:t>
      </w:r>
      <w:r w:rsidR="00D62135" w:rsidRPr="00092BBF">
        <w:rPr>
          <w:rFonts w:ascii="Times New Roman" w:hAnsi="Times New Roman" w:cs="Times New Roman"/>
          <w:sz w:val="20"/>
          <w:szCs w:val="20"/>
        </w:rPr>
        <w:t>opulation density in</w:t>
      </w:r>
      <w:r w:rsidR="005F3A57" w:rsidRPr="00092BBF">
        <w:rPr>
          <w:rFonts w:ascii="Times New Roman" w:hAnsi="Times New Roman" w:cs="Times New Roman"/>
          <w:sz w:val="20"/>
          <w:szCs w:val="20"/>
        </w:rPr>
        <w:t xml:space="preserve"> districts of the region of Southern and Eastern Serbia </w:t>
      </w:r>
      <w:r w:rsidR="00212496" w:rsidRPr="00092BBF">
        <w:rPr>
          <w:rFonts w:ascii="Times New Roman" w:hAnsi="Times New Roman" w:cs="Times New Roman"/>
          <w:sz w:val="20"/>
          <w:szCs w:val="20"/>
        </w:rPr>
        <w:t xml:space="preserve">- </w:t>
      </w:r>
      <w:r w:rsidR="005F3A57" w:rsidRPr="00092BBF">
        <w:rPr>
          <w:rFonts w:ascii="Times New Roman" w:hAnsi="Times New Roman" w:cs="Times New Roman"/>
          <w:sz w:val="20"/>
          <w:szCs w:val="20"/>
        </w:rPr>
        <w:t>c</w:t>
      </w:r>
      <w:r w:rsidR="002F373E" w:rsidRPr="00092BBF">
        <w:rPr>
          <w:rFonts w:ascii="Times New Roman" w:hAnsi="Times New Roman" w:cs="Times New Roman"/>
          <w:sz w:val="20"/>
          <w:szCs w:val="20"/>
        </w:rPr>
        <w:t>ensus of population in</w:t>
      </w:r>
      <w:r w:rsidR="005F3A57" w:rsidRPr="00092BBF">
        <w:rPr>
          <w:rFonts w:ascii="Times New Roman" w:hAnsi="Times New Roman" w:cs="Times New Roman"/>
          <w:sz w:val="20"/>
          <w:szCs w:val="20"/>
        </w:rPr>
        <w:t xml:space="preserve"> 2011</w:t>
      </w:r>
      <w:r w:rsidR="00212496" w:rsidRPr="00092BBF">
        <w:rPr>
          <w:rFonts w:ascii="Times New Roman" w:hAnsi="Times New Roman" w:cs="Times New Roman"/>
          <w:sz w:val="20"/>
          <w:szCs w:val="20"/>
        </w:rPr>
        <w:t xml:space="preserve"> (</w:t>
      </w:r>
      <w:r w:rsidR="005F3A57" w:rsidRPr="00092BBF">
        <w:rPr>
          <w:rFonts w:ascii="Times New Roman" w:hAnsi="Times New Roman" w:cs="Times New Roman"/>
          <w:sz w:val="20"/>
          <w:szCs w:val="20"/>
        </w:rPr>
        <w:t>source: author</w:t>
      </w:r>
      <w:r w:rsidR="000F68B0" w:rsidRPr="00092BBF">
        <w:rPr>
          <w:rFonts w:ascii="Times New Roman" w:hAnsi="Times New Roman" w:cs="Times New Roman"/>
          <w:sz w:val="20"/>
          <w:szCs w:val="20"/>
        </w:rPr>
        <w:t>s</w:t>
      </w:r>
      <w:r w:rsidR="005F3A57" w:rsidRPr="00092BBF">
        <w:rPr>
          <w:rFonts w:ascii="Times New Roman" w:hAnsi="Times New Roman" w:cs="Times New Roman"/>
          <w:sz w:val="20"/>
          <w:szCs w:val="20"/>
        </w:rPr>
        <w:t xml:space="preserve"> based on the data of Statistical Office of the Republic of Serbia</w:t>
      </w:r>
      <w:r w:rsidR="00212496" w:rsidRPr="00092BBF">
        <w:rPr>
          <w:rFonts w:ascii="Times New Roman" w:hAnsi="Times New Roman" w:cs="Times New Roman"/>
          <w:sz w:val="20"/>
          <w:szCs w:val="20"/>
        </w:rPr>
        <w:t>)</w:t>
      </w:r>
    </w:p>
    <w:tbl>
      <w:tblPr>
        <w:tblStyle w:val="TableGrid"/>
        <w:tblW w:w="0" w:type="auto"/>
        <w:jc w:val="center"/>
        <w:tblLook w:val="04A0"/>
      </w:tblPr>
      <w:tblGrid>
        <w:gridCol w:w="2518"/>
        <w:gridCol w:w="2126"/>
        <w:gridCol w:w="3504"/>
      </w:tblGrid>
      <w:tr w:rsidR="00F63D88" w:rsidRPr="00092BBF" w:rsidTr="005850ED">
        <w:trPr>
          <w:jc w:val="center"/>
        </w:trPr>
        <w:tc>
          <w:tcPr>
            <w:tcW w:w="2518" w:type="dxa"/>
          </w:tcPr>
          <w:p w:rsidR="00F63D88" w:rsidRPr="00092BBF" w:rsidRDefault="005F3A57" w:rsidP="001A72C1">
            <w:pPr>
              <w:contextualSpacing/>
              <w:rPr>
                <w:rFonts w:ascii="Times New Roman" w:hAnsi="Times New Roman" w:cs="Times New Roman"/>
                <w:sz w:val="20"/>
                <w:szCs w:val="20"/>
              </w:rPr>
            </w:pPr>
            <w:r w:rsidRPr="00092BBF">
              <w:rPr>
                <w:rFonts w:ascii="Times New Roman" w:hAnsi="Times New Roman" w:cs="Times New Roman"/>
                <w:sz w:val="20"/>
                <w:szCs w:val="20"/>
              </w:rPr>
              <w:t>District</w:t>
            </w:r>
          </w:p>
        </w:tc>
        <w:tc>
          <w:tcPr>
            <w:tcW w:w="2126" w:type="dxa"/>
          </w:tcPr>
          <w:p w:rsidR="00F63D88" w:rsidRPr="00092BBF" w:rsidRDefault="005F3A57" w:rsidP="00CF5EBA">
            <w:pPr>
              <w:contextualSpacing/>
              <w:rPr>
                <w:rFonts w:ascii="Times New Roman" w:hAnsi="Times New Roman" w:cs="Times New Roman"/>
                <w:sz w:val="20"/>
                <w:szCs w:val="20"/>
              </w:rPr>
            </w:pPr>
            <w:r w:rsidRPr="00092BBF">
              <w:rPr>
                <w:rFonts w:ascii="Times New Roman" w:hAnsi="Times New Roman" w:cs="Times New Roman"/>
                <w:sz w:val="20"/>
                <w:szCs w:val="20"/>
              </w:rPr>
              <w:t>Number of residents</w:t>
            </w:r>
          </w:p>
        </w:tc>
        <w:tc>
          <w:tcPr>
            <w:tcW w:w="3504" w:type="dxa"/>
          </w:tcPr>
          <w:p w:rsidR="00F63D88" w:rsidRPr="00092BBF" w:rsidRDefault="005F3A57" w:rsidP="005F3A57">
            <w:pPr>
              <w:contextualSpacing/>
              <w:rPr>
                <w:rFonts w:ascii="Times New Roman" w:hAnsi="Times New Roman" w:cs="Times New Roman"/>
                <w:sz w:val="20"/>
                <w:szCs w:val="20"/>
              </w:rPr>
            </w:pPr>
            <w:r w:rsidRPr="00092BBF">
              <w:rPr>
                <w:rFonts w:ascii="Times New Roman" w:hAnsi="Times New Roman" w:cs="Times New Roman"/>
                <w:sz w:val="20"/>
                <w:szCs w:val="20"/>
              </w:rPr>
              <w:t>Population density</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Danube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199.395</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159,77</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Branicevo D</w:t>
            </w:r>
            <w:r w:rsidR="00F879BB"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183.625</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47,51</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Bor D</w:t>
            </w:r>
            <w:r w:rsidR="00F879BB"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124.992</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35,64</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Zajecar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119.967</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33,11</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Pirot D</w:t>
            </w:r>
            <w:r w:rsidR="00F879BB"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92.479</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33,49</w:t>
            </w:r>
          </w:p>
        </w:tc>
      </w:tr>
      <w:tr w:rsidR="00F63D88" w:rsidRPr="00092BBF" w:rsidTr="005850ED">
        <w:trPr>
          <w:jc w:val="center"/>
        </w:trPr>
        <w:tc>
          <w:tcPr>
            <w:tcW w:w="2518" w:type="dxa"/>
          </w:tcPr>
          <w:p w:rsidR="00F63D88" w:rsidRPr="00092BBF" w:rsidRDefault="006347AD" w:rsidP="001A72C1">
            <w:pPr>
              <w:contextualSpacing/>
              <w:rPr>
                <w:rFonts w:ascii="Times New Roman" w:hAnsi="Times New Roman" w:cs="Times New Roman"/>
                <w:sz w:val="20"/>
                <w:szCs w:val="20"/>
              </w:rPr>
            </w:pPr>
            <w:r w:rsidRPr="00092BBF">
              <w:rPr>
                <w:rFonts w:ascii="Times New Roman" w:hAnsi="Times New Roman" w:cs="Times New Roman"/>
                <w:sz w:val="20"/>
                <w:szCs w:val="20"/>
              </w:rPr>
              <w:t>Nis District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376.319</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137,89</w:t>
            </w:r>
          </w:p>
        </w:tc>
      </w:tr>
      <w:tr w:rsidR="00F63D88" w:rsidRPr="00092BBF" w:rsidTr="005850ED">
        <w:trPr>
          <w:jc w:val="center"/>
        </w:trPr>
        <w:tc>
          <w:tcPr>
            <w:tcW w:w="2518" w:type="dxa"/>
          </w:tcPr>
          <w:p w:rsidR="00F63D88" w:rsidRPr="00092BBF" w:rsidRDefault="00F879BB" w:rsidP="001A72C1">
            <w:pPr>
              <w:contextualSpacing/>
              <w:rPr>
                <w:rFonts w:ascii="Times New Roman" w:hAnsi="Times New Roman" w:cs="Times New Roman"/>
                <w:sz w:val="20"/>
                <w:szCs w:val="20"/>
              </w:rPr>
            </w:pPr>
            <w:r w:rsidRPr="00092BBF">
              <w:rPr>
                <w:rFonts w:ascii="Times New Roman" w:hAnsi="Times New Roman" w:cs="Times New Roman"/>
                <w:sz w:val="20"/>
                <w:szCs w:val="20"/>
              </w:rPr>
              <w:t>T</w:t>
            </w:r>
            <w:r w:rsidR="006347AD" w:rsidRPr="00092BBF">
              <w:rPr>
                <w:rFonts w:ascii="Times New Roman" w:hAnsi="Times New Roman" w:cs="Times New Roman"/>
                <w:sz w:val="20"/>
                <w:szCs w:val="20"/>
              </w:rPr>
              <w:t>oplica 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91.754</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41,13</w:t>
            </w:r>
          </w:p>
        </w:tc>
      </w:tr>
      <w:tr w:rsidR="00F63D88" w:rsidRPr="00092BBF" w:rsidTr="005850ED">
        <w:trPr>
          <w:jc w:val="center"/>
        </w:trPr>
        <w:tc>
          <w:tcPr>
            <w:tcW w:w="2518" w:type="dxa"/>
          </w:tcPr>
          <w:p w:rsidR="00F63D88" w:rsidRPr="00092BBF" w:rsidRDefault="00F879BB" w:rsidP="006347AD">
            <w:pPr>
              <w:contextualSpacing/>
              <w:rPr>
                <w:rFonts w:ascii="Times New Roman" w:hAnsi="Times New Roman" w:cs="Times New Roman"/>
                <w:sz w:val="20"/>
                <w:szCs w:val="20"/>
              </w:rPr>
            </w:pPr>
            <w:r w:rsidRPr="00092BBF">
              <w:rPr>
                <w:rFonts w:ascii="Times New Roman" w:hAnsi="Times New Roman" w:cs="Times New Roman"/>
                <w:sz w:val="20"/>
                <w:szCs w:val="20"/>
              </w:rPr>
              <w:t xml:space="preserve">Jablanica </w:t>
            </w:r>
            <w:r w:rsidR="006347AD" w:rsidRPr="00092BBF">
              <w:rPr>
                <w:rFonts w:ascii="Times New Roman" w:hAnsi="Times New Roman" w:cs="Times New Roman"/>
                <w:sz w:val="20"/>
                <w:szCs w:val="20"/>
              </w:rPr>
              <w:t>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216.304</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78,12</w:t>
            </w:r>
          </w:p>
        </w:tc>
      </w:tr>
      <w:tr w:rsidR="00F63D88" w:rsidRPr="00092BBF" w:rsidTr="005850ED">
        <w:trPr>
          <w:jc w:val="center"/>
        </w:trPr>
        <w:tc>
          <w:tcPr>
            <w:tcW w:w="2518" w:type="dxa"/>
          </w:tcPr>
          <w:p w:rsidR="00F63D88" w:rsidRPr="00092BBF" w:rsidRDefault="00F879BB" w:rsidP="001A72C1">
            <w:pPr>
              <w:contextualSpacing/>
              <w:rPr>
                <w:rFonts w:ascii="Times New Roman" w:hAnsi="Times New Roman" w:cs="Times New Roman"/>
                <w:sz w:val="20"/>
                <w:szCs w:val="20"/>
              </w:rPr>
            </w:pPr>
            <w:r w:rsidRPr="00092BBF">
              <w:rPr>
                <w:rFonts w:ascii="Times New Roman" w:hAnsi="Times New Roman" w:cs="Times New Roman"/>
                <w:sz w:val="20"/>
                <w:szCs w:val="20"/>
              </w:rPr>
              <w:t>P</w:t>
            </w:r>
            <w:r w:rsidR="006347AD" w:rsidRPr="00092BBF">
              <w:rPr>
                <w:rFonts w:ascii="Times New Roman" w:hAnsi="Times New Roman" w:cs="Times New Roman"/>
                <w:sz w:val="20"/>
                <w:szCs w:val="20"/>
              </w:rPr>
              <w:t>cinja D</w:t>
            </w:r>
            <w:r w:rsidRPr="00092BBF">
              <w:rPr>
                <w:rFonts w:ascii="Times New Roman" w:hAnsi="Times New Roman" w:cs="Times New Roman"/>
                <w:sz w:val="20"/>
                <w:szCs w:val="20"/>
              </w:rPr>
              <w:t>istrict</w:t>
            </w:r>
          </w:p>
        </w:tc>
        <w:tc>
          <w:tcPr>
            <w:tcW w:w="2126"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159.081</w:t>
            </w:r>
          </w:p>
        </w:tc>
        <w:tc>
          <w:tcPr>
            <w:tcW w:w="3504" w:type="dxa"/>
          </w:tcPr>
          <w:p w:rsidR="00F63D88" w:rsidRPr="00092BBF" w:rsidRDefault="00F63D88" w:rsidP="001A72C1">
            <w:pPr>
              <w:contextualSpacing/>
              <w:rPr>
                <w:rFonts w:ascii="Times New Roman" w:hAnsi="Times New Roman" w:cs="Times New Roman"/>
                <w:sz w:val="20"/>
                <w:szCs w:val="20"/>
              </w:rPr>
            </w:pPr>
            <w:r w:rsidRPr="00092BBF">
              <w:rPr>
                <w:rFonts w:ascii="Times New Roman" w:hAnsi="Times New Roman" w:cs="Times New Roman"/>
                <w:sz w:val="20"/>
                <w:szCs w:val="20"/>
              </w:rPr>
              <w:t xml:space="preserve">  45,19</w:t>
            </w:r>
          </w:p>
        </w:tc>
      </w:tr>
    </w:tbl>
    <w:p w:rsidR="00CF5EBA" w:rsidRPr="00092BBF" w:rsidRDefault="00CF5EBA" w:rsidP="001A72C1">
      <w:pPr>
        <w:spacing w:after="0" w:line="240" w:lineRule="auto"/>
        <w:contextualSpacing/>
        <w:rPr>
          <w:rFonts w:ascii="Times New Roman" w:hAnsi="Times New Roman" w:cs="Times New Roman"/>
          <w:sz w:val="20"/>
          <w:szCs w:val="20"/>
        </w:rPr>
      </w:pPr>
    </w:p>
    <w:p w:rsidR="00541A3C" w:rsidRPr="00092BBF" w:rsidRDefault="00D62135"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t>According to the 2011 population census, the average population density in the region of Southern and Eastern Serbia is 67.98 residents per square kilometer. Table 2 shows the density of population in certain districts in the region of Southern and Eastern Serbia</w:t>
      </w:r>
      <w:r w:rsidR="00541A3C" w:rsidRPr="00092BBF">
        <w:rPr>
          <w:rFonts w:ascii="Times New Roman" w:hAnsi="Times New Roman" w:cs="Times New Roman"/>
          <w:sz w:val="20"/>
          <w:szCs w:val="20"/>
        </w:rPr>
        <w:t xml:space="preserve">. </w:t>
      </w:r>
      <w:r w:rsidRPr="00092BBF">
        <w:rPr>
          <w:rFonts w:ascii="Times New Roman" w:hAnsi="Times New Roman" w:cs="Times New Roman"/>
          <w:sz w:val="20"/>
          <w:szCs w:val="20"/>
        </w:rPr>
        <w:t xml:space="preserve">Based on the data from this table, can be noted that the density of population varies from </w:t>
      </w:r>
      <w:r w:rsidR="006347AD" w:rsidRPr="00092BBF">
        <w:rPr>
          <w:rFonts w:ascii="Times New Roman" w:hAnsi="Times New Roman" w:cs="Times New Roman"/>
          <w:sz w:val="20"/>
          <w:szCs w:val="20"/>
        </w:rPr>
        <w:t xml:space="preserve">159.77 residents per </w:t>
      </w:r>
      <w:r w:rsidR="006812D1" w:rsidRPr="00092BBF">
        <w:rPr>
          <w:rFonts w:ascii="Times New Roman" w:hAnsi="Times New Roman" w:cs="Times New Roman"/>
          <w:sz w:val="20"/>
          <w:szCs w:val="20"/>
        </w:rPr>
        <w:t>square kilometer</w:t>
      </w:r>
      <w:r w:rsidRPr="00092BBF">
        <w:rPr>
          <w:rFonts w:ascii="Times New Roman" w:hAnsi="Times New Roman" w:cs="Times New Roman"/>
          <w:sz w:val="20"/>
          <w:szCs w:val="20"/>
        </w:rPr>
        <w:t xml:space="preserve"> in the Danube District to 33.11 inha</w:t>
      </w:r>
      <w:r w:rsidR="006347AD" w:rsidRPr="00092BBF">
        <w:rPr>
          <w:rFonts w:ascii="Times New Roman" w:hAnsi="Times New Roman" w:cs="Times New Roman"/>
          <w:sz w:val="20"/>
          <w:szCs w:val="20"/>
        </w:rPr>
        <w:t xml:space="preserve">bitants per </w:t>
      </w:r>
      <w:r w:rsidR="006812D1" w:rsidRPr="00092BBF">
        <w:rPr>
          <w:rFonts w:ascii="Times New Roman" w:hAnsi="Times New Roman" w:cs="Times New Roman"/>
          <w:sz w:val="20"/>
          <w:szCs w:val="20"/>
        </w:rPr>
        <w:t>square kilometer</w:t>
      </w:r>
      <w:r w:rsidR="006347AD" w:rsidRPr="00092BBF">
        <w:rPr>
          <w:rFonts w:ascii="Times New Roman" w:hAnsi="Times New Roman" w:cs="Times New Roman"/>
          <w:sz w:val="20"/>
          <w:szCs w:val="20"/>
        </w:rPr>
        <w:t xml:space="preserve"> in the Zajecar D</w:t>
      </w:r>
      <w:r w:rsidRPr="00092BBF">
        <w:rPr>
          <w:rFonts w:ascii="Times New Roman" w:hAnsi="Times New Roman" w:cs="Times New Roman"/>
          <w:sz w:val="20"/>
          <w:szCs w:val="20"/>
        </w:rPr>
        <w:t>istrict.</w:t>
      </w:r>
    </w:p>
    <w:p w:rsidR="00CB69A3" w:rsidRPr="00092BBF" w:rsidRDefault="00541A3C"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t xml:space="preserve">Regions (districts) in the Republic of Serbia have natural, cultural and historical potentials that can define certain types of tourist offer.These potentials have not been fully exploited because they are partly defined by differences in existing conditions - nature, cultural and historical heritage, and partly created conditions - availability, infrastructure facilities, service sector, diversity of sports and recreational facilities, tourist organizations, etc. </w:t>
      </w:r>
      <w:r w:rsidR="0044095E" w:rsidRPr="00092BBF">
        <w:rPr>
          <w:rFonts w:ascii="Times New Roman" w:hAnsi="Times New Roman" w:cs="Times New Roman"/>
          <w:sz w:val="20"/>
          <w:szCs w:val="20"/>
        </w:rPr>
        <w:t>(Bjeljac, Ž., Brankov, J. i Popović, I., 2009).</w:t>
      </w:r>
    </w:p>
    <w:p w:rsidR="00746FCA" w:rsidRPr="00092BBF" w:rsidRDefault="00541A3C"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t>The region of Southern and Eastern Serbia has rich and diverse tourist potential</w:t>
      </w:r>
      <w:r w:rsidR="00F16EF0" w:rsidRPr="00092BBF">
        <w:rPr>
          <w:rFonts w:ascii="Times New Roman" w:hAnsi="Times New Roman" w:cs="Times New Roman"/>
          <w:sz w:val="20"/>
          <w:szCs w:val="20"/>
        </w:rPr>
        <w:t xml:space="preserve">. </w:t>
      </w:r>
      <w:r w:rsidRPr="00092BBF">
        <w:rPr>
          <w:rFonts w:ascii="Times New Roman" w:hAnsi="Times New Roman" w:cs="Times New Roman"/>
          <w:sz w:val="20"/>
          <w:szCs w:val="20"/>
        </w:rPr>
        <w:t>This potential can enable the development of tourism in this area and contribute to the overall development of the region</w:t>
      </w:r>
      <w:r w:rsidR="00F16EF0" w:rsidRPr="00092BBF">
        <w:rPr>
          <w:rFonts w:ascii="Times New Roman" w:hAnsi="Times New Roman" w:cs="Times New Roman"/>
          <w:sz w:val="20"/>
          <w:szCs w:val="20"/>
        </w:rPr>
        <w:t xml:space="preserve">. </w:t>
      </w:r>
      <w:r w:rsidRPr="00092BBF">
        <w:rPr>
          <w:rFonts w:ascii="Times New Roman" w:hAnsi="Times New Roman" w:cs="Times New Roman"/>
          <w:sz w:val="20"/>
          <w:szCs w:val="20"/>
        </w:rPr>
        <w:t>The tourism potential of this region has not been sufficiently exploited.</w:t>
      </w:r>
    </w:p>
    <w:p w:rsidR="00541A3C" w:rsidRPr="00092BBF" w:rsidRDefault="00541A3C" w:rsidP="001A72C1">
      <w:pPr>
        <w:spacing w:after="0" w:line="240" w:lineRule="auto"/>
        <w:contextualSpacing/>
        <w:rPr>
          <w:rFonts w:ascii="Times New Roman" w:hAnsi="Times New Roman" w:cs="Times New Roman"/>
          <w:sz w:val="20"/>
          <w:szCs w:val="20"/>
        </w:rPr>
      </w:pPr>
    </w:p>
    <w:p w:rsidR="00CF5EBA" w:rsidRPr="00092BBF" w:rsidRDefault="00541A3C" w:rsidP="001A72C1">
      <w:pPr>
        <w:spacing w:after="0" w:line="240" w:lineRule="auto"/>
        <w:contextualSpacing/>
        <w:rPr>
          <w:rFonts w:ascii="Times New Roman" w:hAnsi="Times New Roman" w:cs="Times New Roman"/>
          <w:b/>
        </w:rPr>
      </w:pPr>
      <w:r w:rsidRPr="00092BBF">
        <w:rPr>
          <w:rFonts w:ascii="Times New Roman" w:hAnsi="Times New Roman" w:cs="Times New Roman"/>
          <w:b/>
        </w:rPr>
        <w:t>Analysis of tourist traffic in the region and in the districts of the region of Southern and Eastern Serbia</w:t>
      </w:r>
    </w:p>
    <w:p w:rsidR="00CF5EBA" w:rsidRPr="00092BBF" w:rsidRDefault="00CF5EBA" w:rsidP="001A72C1">
      <w:pPr>
        <w:pStyle w:val="Default"/>
        <w:contextualSpacing/>
        <w:jc w:val="both"/>
        <w:rPr>
          <w:color w:val="auto"/>
          <w:sz w:val="20"/>
          <w:szCs w:val="20"/>
        </w:rPr>
      </w:pPr>
    </w:p>
    <w:p w:rsidR="00E85DFA" w:rsidRPr="00092BBF" w:rsidRDefault="00FB6760" w:rsidP="001A72C1">
      <w:pPr>
        <w:pStyle w:val="Default"/>
        <w:contextualSpacing/>
        <w:jc w:val="both"/>
        <w:rPr>
          <w:color w:val="auto"/>
          <w:sz w:val="20"/>
          <w:szCs w:val="20"/>
        </w:rPr>
      </w:pPr>
      <w:r w:rsidRPr="00092BBF">
        <w:rPr>
          <w:color w:val="auto"/>
          <w:sz w:val="20"/>
          <w:szCs w:val="20"/>
        </w:rPr>
        <w:t>Tourism traffic is an summary indicator of the volume, dynamics and structure of tourist movement. It shows the number of arrivals of domestic, foreign tourists, as well as the total number of tourists arrivals.</w:t>
      </w:r>
      <w:r w:rsidR="00E85DFA" w:rsidRPr="00092BBF">
        <w:rPr>
          <w:color w:val="auto"/>
          <w:sz w:val="20"/>
          <w:szCs w:val="20"/>
        </w:rPr>
        <w:t>Also, shows the number of nights of domestic and foreign tourists, as well as the total number of tourists nights in the region of South</w:t>
      </w:r>
      <w:r w:rsidR="006812D1" w:rsidRPr="00092BBF">
        <w:rPr>
          <w:color w:val="auto"/>
          <w:sz w:val="20"/>
          <w:szCs w:val="20"/>
        </w:rPr>
        <w:t>ern</w:t>
      </w:r>
      <w:r w:rsidR="00E85DFA" w:rsidRPr="00092BBF">
        <w:rPr>
          <w:color w:val="auto"/>
          <w:sz w:val="20"/>
          <w:szCs w:val="20"/>
        </w:rPr>
        <w:t xml:space="preserve"> and East</w:t>
      </w:r>
      <w:r w:rsidR="006812D1" w:rsidRPr="00092BBF">
        <w:rPr>
          <w:color w:val="auto"/>
          <w:sz w:val="20"/>
          <w:szCs w:val="20"/>
        </w:rPr>
        <w:t>ern</w:t>
      </w:r>
      <w:r w:rsidR="00E85DFA" w:rsidRPr="00092BBF">
        <w:rPr>
          <w:color w:val="auto"/>
          <w:sz w:val="20"/>
          <w:szCs w:val="20"/>
        </w:rPr>
        <w:t xml:space="preserve"> Serbia and in the individual districts of this region.</w:t>
      </w:r>
    </w:p>
    <w:p w:rsidR="00F63D88" w:rsidRPr="00092BBF" w:rsidRDefault="00E85DFA" w:rsidP="00E85DFA">
      <w:pPr>
        <w:pStyle w:val="Default"/>
        <w:tabs>
          <w:tab w:val="left" w:pos="6521"/>
        </w:tabs>
        <w:contextualSpacing/>
        <w:jc w:val="both"/>
        <w:rPr>
          <w:color w:val="auto"/>
          <w:sz w:val="20"/>
          <w:szCs w:val="20"/>
        </w:rPr>
      </w:pPr>
      <w:r w:rsidRPr="00092BBF">
        <w:rPr>
          <w:color w:val="auto"/>
          <w:sz w:val="20"/>
          <w:szCs w:val="20"/>
        </w:rPr>
        <w:t>Below are the data about tourist traffic (tourists arrivals and tourists nights) in the region of Southern and Eastern Serbia in the period from 2006 to 2016.</w:t>
      </w:r>
    </w:p>
    <w:p w:rsidR="00344D85" w:rsidRPr="00092BBF" w:rsidRDefault="00344D85" w:rsidP="00E85DFA">
      <w:pPr>
        <w:pStyle w:val="Default"/>
        <w:tabs>
          <w:tab w:val="left" w:pos="6521"/>
        </w:tabs>
        <w:contextualSpacing/>
        <w:jc w:val="both"/>
        <w:rPr>
          <w:color w:val="auto"/>
          <w:sz w:val="20"/>
          <w:szCs w:val="20"/>
        </w:rPr>
      </w:pPr>
    </w:p>
    <w:p w:rsidR="00F63D88" w:rsidRPr="00092BBF" w:rsidRDefault="00D0461C" w:rsidP="001A72C1">
      <w:pPr>
        <w:pStyle w:val="Default"/>
        <w:tabs>
          <w:tab w:val="left" w:pos="6521"/>
        </w:tabs>
        <w:contextualSpacing/>
        <w:jc w:val="center"/>
        <w:rPr>
          <w:color w:val="auto"/>
          <w:sz w:val="20"/>
          <w:szCs w:val="20"/>
        </w:rPr>
      </w:pPr>
      <w:r w:rsidRPr="00092BBF">
        <w:rPr>
          <w:b/>
          <w:color w:val="auto"/>
          <w:sz w:val="20"/>
          <w:szCs w:val="20"/>
        </w:rPr>
        <w:t>Table</w:t>
      </w:r>
      <w:r w:rsidR="008973AD" w:rsidRPr="00092BBF">
        <w:rPr>
          <w:b/>
          <w:color w:val="auto"/>
          <w:sz w:val="20"/>
          <w:szCs w:val="20"/>
        </w:rPr>
        <w:t xml:space="preserve"> 3:</w:t>
      </w:r>
      <w:r w:rsidR="00342FF3" w:rsidRPr="00092BBF">
        <w:rPr>
          <w:color w:val="auto"/>
          <w:sz w:val="20"/>
          <w:szCs w:val="20"/>
        </w:rPr>
        <w:t>T</w:t>
      </w:r>
      <w:r w:rsidR="00072BD8" w:rsidRPr="00092BBF">
        <w:rPr>
          <w:color w:val="auto"/>
          <w:sz w:val="20"/>
          <w:szCs w:val="20"/>
        </w:rPr>
        <w:t>ourists</w:t>
      </w:r>
      <w:r w:rsidR="00342FF3" w:rsidRPr="00092BBF">
        <w:rPr>
          <w:color w:val="auto"/>
          <w:sz w:val="20"/>
          <w:szCs w:val="20"/>
        </w:rPr>
        <w:t>’ arrivals</w:t>
      </w:r>
      <w:r w:rsidR="00072BD8" w:rsidRPr="00092BBF">
        <w:rPr>
          <w:color w:val="auto"/>
          <w:sz w:val="20"/>
          <w:szCs w:val="20"/>
        </w:rPr>
        <w:t xml:space="preserve"> in the region of Southern and Eastern Serbia in the period 2006-2016 </w:t>
      </w:r>
      <w:r w:rsidR="0030155E" w:rsidRPr="00092BBF">
        <w:rPr>
          <w:color w:val="auto"/>
          <w:sz w:val="20"/>
          <w:szCs w:val="20"/>
        </w:rPr>
        <w:t>(</w:t>
      </w:r>
      <w:r w:rsidR="000F68B0" w:rsidRPr="00092BBF">
        <w:rPr>
          <w:color w:val="auto"/>
          <w:sz w:val="20"/>
          <w:szCs w:val="20"/>
        </w:rPr>
        <w:t>source: authors based on the data of Statistical Office of the Republic of Serbia</w:t>
      </w:r>
      <w:r w:rsidR="00746FCA" w:rsidRPr="00092BBF">
        <w:rPr>
          <w:color w:val="auto"/>
          <w:sz w:val="20"/>
          <w:szCs w:val="20"/>
        </w:rPr>
        <w:t>)</w:t>
      </w:r>
    </w:p>
    <w:tbl>
      <w:tblPr>
        <w:tblStyle w:val="TableGrid"/>
        <w:tblW w:w="0" w:type="auto"/>
        <w:jc w:val="center"/>
        <w:tblLook w:val="04A0"/>
      </w:tblPr>
      <w:tblGrid>
        <w:gridCol w:w="1496"/>
        <w:gridCol w:w="1709"/>
        <w:gridCol w:w="1693"/>
        <w:gridCol w:w="1210"/>
      </w:tblGrid>
      <w:tr w:rsidR="00F63D88" w:rsidRPr="00092BBF" w:rsidTr="000F68B0">
        <w:trPr>
          <w:trHeight w:val="225"/>
          <w:jc w:val="center"/>
        </w:trPr>
        <w:tc>
          <w:tcPr>
            <w:tcW w:w="1496" w:type="dxa"/>
            <w:vAlign w:val="center"/>
          </w:tcPr>
          <w:p w:rsidR="00F63D88" w:rsidRPr="00092BBF" w:rsidRDefault="000F68B0" w:rsidP="000F68B0">
            <w:pPr>
              <w:pStyle w:val="Default"/>
              <w:contextualSpacing/>
              <w:jc w:val="both"/>
              <w:rPr>
                <w:color w:val="auto"/>
                <w:sz w:val="20"/>
                <w:szCs w:val="20"/>
              </w:rPr>
            </w:pPr>
            <w:r w:rsidRPr="00092BBF">
              <w:rPr>
                <w:color w:val="auto"/>
                <w:sz w:val="20"/>
                <w:szCs w:val="20"/>
              </w:rPr>
              <w:t>Year</w:t>
            </w:r>
          </w:p>
        </w:tc>
        <w:tc>
          <w:tcPr>
            <w:tcW w:w="4612" w:type="dxa"/>
            <w:gridSpan w:val="3"/>
          </w:tcPr>
          <w:p w:rsidR="00F63D88" w:rsidRPr="00092BBF" w:rsidRDefault="00342FF3" w:rsidP="001A72C1">
            <w:pPr>
              <w:pStyle w:val="Default"/>
              <w:contextualSpacing/>
              <w:jc w:val="center"/>
              <w:rPr>
                <w:color w:val="auto"/>
                <w:sz w:val="20"/>
                <w:szCs w:val="20"/>
              </w:rPr>
            </w:pPr>
            <w:r w:rsidRPr="00092BBF">
              <w:rPr>
                <w:color w:val="auto"/>
                <w:sz w:val="20"/>
                <w:szCs w:val="20"/>
              </w:rPr>
              <w:t>T</w:t>
            </w:r>
            <w:r w:rsidR="000F68B0" w:rsidRPr="00092BBF">
              <w:rPr>
                <w:color w:val="auto"/>
                <w:sz w:val="20"/>
                <w:szCs w:val="20"/>
              </w:rPr>
              <w:t>ourists</w:t>
            </w:r>
            <w:r w:rsidRPr="00092BBF">
              <w:rPr>
                <w:color w:val="auto"/>
                <w:sz w:val="20"/>
                <w:szCs w:val="20"/>
              </w:rPr>
              <w:t>’ arrivals</w:t>
            </w:r>
          </w:p>
        </w:tc>
      </w:tr>
      <w:tr w:rsidR="00F63D88" w:rsidRPr="00092BBF" w:rsidTr="000F68B0">
        <w:trPr>
          <w:trHeight w:val="165"/>
          <w:jc w:val="center"/>
        </w:trPr>
        <w:tc>
          <w:tcPr>
            <w:tcW w:w="1496" w:type="dxa"/>
          </w:tcPr>
          <w:p w:rsidR="00F63D88" w:rsidRPr="00092BBF" w:rsidRDefault="00F63D88" w:rsidP="000F68B0">
            <w:pPr>
              <w:pStyle w:val="Default"/>
              <w:contextualSpacing/>
              <w:jc w:val="both"/>
              <w:rPr>
                <w:color w:val="auto"/>
                <w:sz w:val="20"/>
                <w:szCs w:val="20"/>
              </w:rPr>
            </w:pPr>
          </w:p>
        </w:tc>
        <w:tc>
          <w:tcPr>
            <w:tcW w:w="1709" w:type="dxa"/>
          </w:tcPr>
          <w:p w:rsidR="00F63D88" w:rsidRPr="00092BBF" w:rsidRDefault="000F68B0" w:rsidP="000F68B0">
            <w:pPr>
              <w:pStyle w:val="Default"/>
              <w:contextualSpacing/>
              <w:jc w:val="both"/>
              <w:rPr>
                <w:color w:val="auto"/>
                <w:sz w:val="20"/>
                <w:szCs w:val="20"/>
              </w:rPr>
            </w:pPr>
            <w:r w:rsidRPr="00092BBF">
              <w:rPr>
                <w:color w:val="auto"/>
                <w:sz w:val="20"/>
                <w:szCs w:val="20"/>
              </w:rPr>
              <w:t>Domestic tourists</w:t>
            </w:r>
          </w:p>
        </w:tc>
        <w:tc>
          <w:tcPr>
            <w:tcW w:w="1693" w:type="dxa"/>
          </w:tcPr>
          <w:p w:rsidR="00F63D88" w:rsidRPr="00092BBF" w:rsidRDefault="000F68B0" w:rsidP="000F68B0">
            <w:pPr>
              <w:pStyle w:val="Default"/>
              <w:contextualSpacing/>
              <w:jc w:val="both"/>
              <w:rPr>
                <w:color w:val="auto"/>
                <w:sz w:val="20"/>
                <w:szCs w:val="20"/>
              </w:rPr>
            </w:pPr>
            <w:r w:rsidRPr="00092BBF">
              <w:rPr>
                <w:color w:val="auto"/>
                <w:sz w:val="20"/>
                <w:szCs w:val="20"/>
              </w:rPr>
              <w:t>Foreign tourists</w:t>
            </w:r>
          </w:p>
        </w:tc>
        <w:tc>
          <w:tcPr>
            <w:tcW w:w="1210" w:type="dxa"/>
            <w:vAlign w:val="center"/>
          </w:tcPr>
          <w:p w:rsidR="00F63D88" w:rsidRPr="00092BBF" w:rsidRDefault="000F68B0" w:rsidP="000F68B0">
            <w:pPr>
              <w:pStyle w:val="Default"/>
              <w:contextualSpacing/>
              <w:jc w:val="both"/>
              <w:rPr>
                <w:color w:val="auto"/>
                <w:sz w:val="20"/>
                <w:szCs w:val="20"/>
              </w:rPr>
            </w:pPr>
            <w:r w:rsidRPr="00092BBF">
              <w:rPr>
                <w:color w:val="auto"/>
                <w:sz w:val="20"/>
                <w:szCs w:val="20"/>
              </w:rPr>
              <w:t>Total</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2006.</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279.986</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38.865</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318.851</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2007.</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336.779</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64.490</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401.269</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2008.</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347.376</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64.958</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412.334</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2009.</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294.629</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76.609</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371.238</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2010.</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274.400</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78.153</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352.553</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2011.</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285.604</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76.594</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362.198</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2012.</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275.073</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78.633</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353.706</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2013.</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251.673</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83.136</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334.809</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2014.</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233.013</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96.516</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329.529</w:t>
            </w:r>
          </w:p>
        </w:tc>
      </w:tr>
      <w:tr w:rsidR="00F63D88" w:rsidRPr="00092BBF" w:rsidTr="000F68B0">
        <w:trPr>
          <w:jc w:val="center"/>
        </w:trPr>
        <w:tc>
          <w:tcPr>
            <w:tcW w:w="1496" w:type="dxa"/>
          </w:tcPr>
          <w:p w:rsidR="00F63D88" w:rsidRPr="00092BBF" w:rsidRDefault="00F63D88" w:rsidP="000F68B0">
            <w:pPr>
              <w:pStyle w:val="Default"/>
              <w:contextualSpacing/>
              <w:jc w:val="both"/>
              <w:rPr>
                <w:color w:val="auto"/>
                <w:sz w:val="20"/>
                <w:szCs w:val="20"/>
              </w:rPr>
            </w:pPr>
            <w:r w:rsidRPr="00092BBF">
              <w:rPr>
                <w:color w:val="auto"/>
                <w:sz w:val="20"/>
                <w:szCs w:val="20"/>
              </w:rPr>
              <w:t>2015.</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252.910</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108.868</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361.778</w:t>
            </w:r>
          </w:p>
        </w:tc>
      </w:tr>
      <w:tr w:rsidR="00F63D88" w:rsidRPr="00092BBF" w:rsidTr="000F68B0">
        <w:trPr>
          <w:jc w:val="center"/>
        </w:trPr>
        <w:tc>
          <w:tcPr>
            <w:tcW w:w="1496" w:type="dxa"/>
          </w:tcPr>
          <w:p w:rsidR="00F63D88" w:rsidRPr="00092BBF" w:rsidRDefault="000F68B0" w:rsidP="000F68B0">
            <w:pPr>
              <w:pStyle w:val="Default"/>
              <w:contextualSpacing/>
              <w:jc w:val="both"/>
              <w:rPr>
                <w:color w:val="auto"/>
                <w:sz w:val="20"/>
                <w:szCs w:val="20"/>
              </w:rPr>
            </w:pPr>
            <w:r w:rsidRPr="00092BBF">
              <w:rPr>
                <w:color w:val="auto"/>
                <w:sz w:val="20"/>
                <w:szCs w:val="20"/>
              </w:rPr>
              <w:t>Jan</w:t>
            </w:r>
            <w:r w:rsidR="008973AD" w:rsidRPr="00092BBF">
              <w:rPr>
                <w:color w:val="auto"/>
                <w:sz w:val="20"/>
                <w:szCs w:val="20"/>
              </w:rPr>
              <w:t>- Nov</w:t>
            </w:r>
            <w:r w:rsidR="00F63D88" w:rsidRPr="00092BBF">
              <w:rPr>
                <w:color w:val="auto"/>
                <w:sz w:val="20"/>
                <w:szCs w:val="20"/>
              </w:rPr>
              <w:t>2016</w:t>
            </w:r>
          </w:p>
        </w:tc>
        <w:tc>
          <w:tcPr>
            <w:tcW w:w="1709" w:type="dxa"/>
          </w:tcPr>
          <w:p w:rsidR="00F63D88" w:rsidRPr="00092BBF" w:rsidRDefault="00F63D88" w:rsidP="000F68B0">
            <w:pPr>
              <w:pStyle w:val="Default"/>
              <w:contextualSpacing/>
              <w:jc w:val="both"/>
              <w:rPr>
                <w:color w:val="auto"/>
                <w:sz w:val="20"/>
                <w:szCs w:val="20"/>
              </w:rPr>
            </w:pPr>
            <w:r w:rsidRPr="00092BBF">
              <w:rPr>
                <w:color w:val="auto"/>
                <w:sz w:val="20"/>
                <w:szCs w:val="20"/>
              </w:rPr>
              <w:t>260.822</w:t>
            </w:r>
          </w:p>
        </w:tc>
        <w:tc>
          <w:tcPr>
            <w:tcW w:w="1693" w:type="dxa"/>
          </w:tcPr>
          <w:p w:rsidR="00F63D88" w:rsidRPr="00092BBF" w:rsidRDefault="00F63D88" w:rsidP="000F68B0">
            <w:pPr>
              <w:pStyle w:val="Default"/>
              <w:contextualSpacing/>
              <w:jc w:val="both"/>
              <w:rPr>
                <w:color w:val="auto"/>
                <w:sz w:val="20"/>
                <w:szCs w:val="20"/>
              </w:rPr>
            </w:pPr>
            <w:r w:rsidRPr="00092BBF">
              <w:rPr>
                <w:color w:val="auto"/>
                <w:sz w:val="20"/>
                <w:szCs w:val="20"/>
              </w:rPr>
              <w:t>111.552</w:t>
            </w:r>
          </w:p>
        </w:tc>
        <w:tc>
          <w:tcPr>
            <w:tcW w:w="1210" w:type="dxa"/>
          </w:tcPr>
          <w:p w:rsidR="00F63D88" w:rsidRPr="00092BBF" w:rsidRDefault="00F63D88" w:rsidP="000F68B0">
            <w:pPr>
              <w:pStyle w:val="Default"/>
              <w:contextualSpacing/>
              <w:jc w:val="both"/>
              <w:rPr>
                <w:color w:val="auto"/>
                <w:sz w:val="20"/>
                <w:szCs w:val="20"/>
              </w:rPr>
            </w:pPr>
            <w:r w:rsidRPr="00092BBF">
              <w:rPr>
                <w:color w:val="auto"/>
                <w:sz w:val="20"/>
                <w:szCs w:val="20"/>
              </w:rPr>
              <w:t>372.374</w:t>
            </w:r>
          </w:p>
        </w:tc>
      </w:tr>
    </w:tbl>
    <w:p w:rsidR="008973AD" w:rsidRPr="00092BBF" w:rsidRDefault="008973AD" w:rsidP="001A72C1">
      <w:pPr>
        <w:pStyle w:val="Default"/>
        <w:contextualSpacing/>
        <w:jc w:val="center"/>
        <w:rPr>
          <w:color w:val="auto"/>
          <w:sz w:val="20"/>
          <w:szCs w:val="20"/>
        </w:rPr>
      </w:pPr>
    </w:p>
    <w:p w:rsidR="00321BDE" w:rsidRPr="00092BBF" w:rsidRDefault="009803BF" w:rsidP="007A5895">
      <w:pPr>
        <w:pStyle w:val="Default"/>
        <w:contextualSpacing/>
        <w:jc w:val="both"/>
        <w:rPr>
          <w:color w:val="auto"/>
          <w:sz w:val="20"/>
          <w:szCs w:val="20"/>
        </w:rPr>
      </w:pPr>
      <w:r w:rsidRPr="00092BBF">
        <w:rPr>
          <w:color w:val="auto"/>
          <w:sz w:val="20"/>
          <w:szCs w:val="20"/>
        </w:rPr>
        <w:t>Table 3 shows data about tourists arrivals in the region of Southern and Eastern Serbia in the observed period</w:t>
      </w:r>
      <w:r w:rsidR="007A5895" w:rsidRPr="00092BBF">
        <w:rPr>
          <w:color w:val="auto"/>
          <w:sz w:val="20"/>
          <w:szCs w:val="20"/>
        </w:rPr>
        <w:t xml:space="preserve">. </w:t>
      </w:r>
      <w:r w:rsidRPr="00092BBF">
        <w:rPr>
          <w:color w:val="auto"/>
          <w:sz w:val="20"/>
          <w:szCs w:val="20"/>
        </w:rPr>
        <w:t>Based on the data from Table 3 we can notice that the total number of tourists arrivals from 2006 to 2008 gradually increased (from 318.851 arrivals in 2006 to 412.334 arrivals in 2008</w:t>
      </w:r>
      <w:r w:rsidR="007A5895" w:rsidRPr="00092BBF">
        <w:rPr>
          <w:color w:val="auto"/>
          <w:sz w:val="20"/>
          <w:szCs w:val="20"/>
        </w:rPr>
        <w:t xml:space="preserve">). </w:t>
      </w:r>
      <w:r w:rsidRPr="00092BBF">
        <w:rPr>
          <w:color w:val="auto"/>
          <w:sz w:val="20"/>
          <w:szCs w:val="20"/>
        </w:rPr>
        <w:t>During this period the number of arrivals of domestic and foreign tou</w:t>
      </w:r>
      <w:r w:rsidR="00F15CA9" w:rsidRPr="00092BBF">
        <w:rPr>
          <w:color w:val="auto"/>
          <w:sz w:val="20"/>
          <w:szCs w:val="20"/>
        </w:rPr>
        <w:t xml:space="preserve">rists increased. In 2009 </w:t>
      </w:r>
      <w:r w:rsidRPr="00092BBF">
        <w:rPr>
          <w:color w:val="auto"/>
          <w:sz w:val="20"/>
          <w:szCs w:val="20"/>
        </w:rPr>
        <w:t xml:space="preserve"> was a decrease in the total number of tourists arrivals (from 412.334 arrivals in 2008 to 371.238 arrivals in 2009). There is a decrease in the number of arrivals of domestic tourists. The decrease in the number of arrivals of domestic tourists (and the total number of tourists arrivals) was</w:t>
      </w:r>
      <w:r w:rsidR="00F15CA9" w:rsidRPr="00092BBF">
        <w:rPr>
          <w:color w:val="auto"/>
          <w:sz w:val="20"/>
          <w:szCs w:val="20"/>
        </w:rPr>
        <w:t xml:space="preserve"> characteristic for 2010.</w:t>
      </w:r>
      <w:r w:rsidR="00B046AD" w:rsidRPr="00092BBF">
        <w:rPr>
          <w:color w:val="auto"/>
          <w:sz w:val="20"/>
          <w:szCs w:val="20"/>
        </w:rPr>
        <w:t>In 2011 the number of arrivals of domestic tourists increased (and the total number of tourists arrivals), and in 2012 the number of domestic tourists arrivals (and the total number of tourists) was again reduced. Reduction in the number of arrivals was characteristic for 2013 and 2014, and in 2015 and 2016 there is an increase in the number of arrivals of domestic tourists (and the total number of tourists arrivals).</w:t>
      </w:r>
      <w:r w:rsidR="00B53BFF" w:rsidRPr="00092BBF">
        <w:rPr>
          <w:color w:val="auto"/>
          <w:sz w:val="20"/>
          <w:szCs w:val="20"/>
        </w:rPr>
        <w:t xml:space="preserve">In the observed period the number of foreign tourists arrivals in the region of Southern and Eastern Serbia constantly increasing, except in 2011 when the number of foreign tourists arrivals decreased compared to 2010. In the period from 2006 to 2016, the </w:t>
      </w:r>
      <w:r w:rsidR="00F15CA9" w:rsidRPr="00092BBF">
        <w:rPr>
          <w:color w:val="auto"/>
          <w:sz w:val="20"/>
          <w:szCs w:val="20"/>
        </w:rPr>
        <w:t>biggest</w:t>
      </w:r>
      <w:r w:rsidR="00B53BFF" w:rsidRPr="00092BBF">
        <w:rPr>
          <w:color w:val="auto"/>
          <w:sz w:val="20"/>
          <w:szCs w:val="20"/>
        </w:rPr>
        <w:t xml:space="preserve"> number of domestic tourists arrivals in this region was in 2008 (347.376 arrivals), the </w:t>
      </w:r>
      <w:r w:rsidR="00F15CA9" w:rsidRPr="00092BBF">
        <w:rPr>
          <w:color w:val="auto"/>
          <w:sz w:val="20"/>
          <w:szCs w:val="20"/>
        </w:rPr>
        <w:t>biggest</w:t>
      </w:r>
      <w:r w:rsidR="00B53BFF" w:rsidRPr="00092BBF">
        <w:rPr>
          <w:color w:val="auto"/>
          <w:sz w:val="20"/>
          <w:szCs w:val="20"/>
        </w:rPr>
        <w:t xml:space="preserve"> number of foreign tourists arrivals was in 2016 (111.552 arrivals in the period from January to November 2016) , while the </w:t>
      </w:r>
      <w:r w:rsidR="00F15CA9" w:rsidRPr="00092BBF">
        <w:rPr>
          <w:color w:val="auto"/>
          <w:sz w:val="20"/>
          <w:szCs w:val="20"/>
        </w:rPr>
        <w:t>biggest</w:t>
      </w:r>
      <w:r w:rsidR="00B53BFF" w:rsidRPr="00092BBF">
        <w:rPr>
          <w:color w:val="auto"/>
          <w:sz w:val="20"/>
          <w:szCs w:val="20"/>
        </w:rPr>
        <w:t xml:space="preserve"> total number of tourists arrivals was in 2008 (412.334 arrivals).</w:t>
      </w:r>
      <w:r w:rsidR="00321BDE" w:rsidRPr="00092BBF">
        <w:rPr>
          <w:color w:val="auto"/>
          <w:sz w:val="20"/>
          <w:szCs w:val="20"/>
        </w:rPr>
        <w:t>Based on the data from Table 3 we see that in the total number of arrivals a much higher share of domestic than foreign tourists.</w:t>
      </w:r>
    </w:p>
    <w:p w:rsidR="00321BDE" w:rsidRPr="00092BBF" w:rsidRDefault="00321BDE" w:rsidP="00321BDE">
      <w:pPr>
        <w:pStyle w:val="Default"/>
        <w:contextualSpacing/>
        <w:jc w:val="both"/>
        <w:rPr>
          <w:color w:val="auto"/>
          <w:sz w:val="20"/>
          <w:szCs w:val="20"/>
        </w:rPr>
      </w:pPr>
      <w:r w:rsidRPr="00092BBF">
        <w:rPr>
          <w:color w:val="auto"/>
          <w:sz w:val="20"/>
          <w:szCs w:val="20"/>
        </w:rPr>
        <w:t>Graph 1 shows data about tourists' arrivals (domestic and foreign tourists) in the region of Southern and Eastern Serbia. The data of the Statistical Office of the Republic of Serbia relate to the period from 2006 to November 2016.</w:t>
      </w:r>
    </w:p>
    <w:p w:rsidR="00321BDE" w:rsidRPr="00092BBF" w:rsidRDefault="00321BDE" w:rsidP="007A5895">
      <w:pPr>
        <w:pStyle w:val="Default"/>
        <w:contextualSpacing/>
        <w:jc w:val="both"/>
        <w:rPr>
          <w:color w:val="auto"/>
          <w:sz w:val="20"/>
          <w:szCs w:val="20"/>
        </w:rPr>
      </w:pPr>
    </w:p>
    <w:p w:rsidR="007E4EB6" w:rsidRPr="00092BBF" w:rsidRDefault="007E4EB6" w:rsidP="007A5895">
      <w:pPr>
        <w:pStyle w:val="Default"/>
        <w:contextualSpacing/>
        <w:jc w:val="both"/>
        <w:rPr>
          <w:color w:val="auto"/>
          <w:sz w:val="20"/>
          <w:szCs w:val="20"/>
        </w:rPr>
      </w:pPr>
    </w:p>
    <w:p w:rsidR="00746FCA" w:rsidRPr="00092BBF" w:rsidRDefault="00C71D03" w:rsidP="001A72C1">
      <w:pPr>
        <w:pStyle w:val="Default"/>
        <w:contextualSpacing/>
        <w:jc w:val="center"/>
        <w:rPr>
          <w:color w:val="auto"/>
          <w:sz w:val="20"/>
          <w:szCs w:val="20"/>
        </w:rPr>
      </w:pPr>
      <w:r w:rsidRPr="00092BBF">
        <w:rPr>
          <w:noProof/>
          <w:color w:val="auto"/>
          <w:sz w:val="20"/>
          <w:szCs w:val="20"/>
        </w:rPr>
        <w:drawing>
          <wp:inline distT="0" distB="0" distL="0" distR="0">
            <wp:extent cx="4352925" cy="25146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6FCA" w:rsidRPr="00092BBF" w:rsidRDefault="00746FCA" w:rsidP="001A72C1">
      <w:pPr>
        <w:pStyle w:val="Default"/>
        <w:contextualSpacing/>
        <w:jc w:val="center"/>
        <w:rPr>
          <w:color w:val="auto"/>
          <w:sz w:val="20"/>
          <w:szCs w:val="20"/>
        </w:rPr>
      </w:pPr>
    </w:p>
    <w:p w:rsidR="00746FCA" w:rsidRPr="00092BBF" w:rsidRDefault="00342FF3" w:rsidP="001A72C1">
      <w:pPr>
        <w:pStyle w:val="Default"/>
        <w:contextualSpacing/>
        <w:jc w:val="center"/>
        <w:rPr>
          <w:color w:val="auto"/>
          <w:sz w:val="20"/>
          <w:szCs w:val="20"/>
        </w:rPr>
      </w:pPr>
      <w:r w:rsidRPr="00092BBF">
        <w:rPr>
          <w:b/>
          <w:color w:val="auto"/>
          <w:sz w:val="20"/>
          <w:szCs w:val="20"/>
        </w:rPr>
        <w:t xml:space="preserve">Graph </w:t>
      </w:r>
      <w:r w:rsidR="00CE1870" w:rsidRPr="00092BBF">
        <w:rPr>
          <w:b/>
          <w:color w:val="auto"/>
          <w:sz w:val="20"/>
          <w:szCs w:val="20"/>
        </w:rPr>
        <w:t>1:</w:t>
      </w:r>
      <w:r w:rsidRPr="00092BBF">
        <w:rPr>
          <w:color w:val="auto"/>
          <w:sz w:val="20"/>
          <w:szCs w:val="20"/>
        </w:rPr>
        <w:t>T</w:t>
      </w:r>
      <w:r w:rsidR="000F68B0" w:rsidRPr="00092BBF">
        <w:rPr>
          <w:color w:val="auto"/>
          <w:sz w:val="20"/>
          <w:szCs w:val="20"/>
        </w:rPr>
        <w:t>ourists</w:t>
      </w:r>
      <w:r w:rsidRPr="00092BBF">
        <w:rPr>
          <w:color w:val="auto"/>
          <w:sz w:val="20"/>
          <w:szCs w:val="20"/>
        </w:rPr>
        <w:t>’ arrivals</w:t>
      </w:r>
      <w:r w:rsidR="000F68B0" w:rsidRPr="00092BBF">
        <w:rPr>
          <w:color w:val="auto"/>
          <w:sz w:val="20"/>
          <w:szCs w:val="20"/>
        </w:rPr>
        <w:t xml:space="preserve"> in the region of Southern and Eastern Serbia </w:t>
      </w:r>
      <w:r w:rsidR="00CE1870" w:rsidRPr="00092BBF">
        <w:rPr>
          <w:color w:val="auto"/>
          <w:sz w:val="20"/>
          <w:szCs w:val="20"/>
        </w:rPr>
        <w:t>(</w:t>
      </w:r>
      <w:r w:rsidR="000F68B0" w:rsidRPr="00092BBF">
        <w:rPr>
          <w:color w:val="auto"/>
          <w:sz w:val="20"/>
          <w:szCs w:val="20"/>
        </w:rPr>
        <w:t>source: authors based on the data of Statistical Office of the Republic of Serbia</w:t>
      </w:r>
      <w:r w:rsidR="00CE1870" w:rsidRPr="00092BBF">
        <w:rPr>
          <w:color w:val="auto"/>
          <w:sz w:val="20"/>
          <w:szCs w:val="20"/>
        </w:rPr>
        <w:t>)</w:t>
      </w:r>
    </w:p>
    <w:p w:rsidR="00746FCA" w:rsidRPr="00092BBF" w:rsidRDefault="00746FCA" w:rsidP="001A72C1">
      <w:pPr>
        <w:pStyle w:val="Default"/>
        <w:contextualSpacing/>
        <w:jc w:val="center"/>
        <w:rPr>
          <w:color w:val="auto"/>
          <w:sz w:val="20"/>
          <w:szCs w:val="20"/>
        </w:rPr>
      </w:pPr>
    </w:p>
    <w:p w:rsidR="00F63D88" w:rsidRPr="00092BBF" w:rsidRDefault="00D0461C" w:rsidP="001A72C1">
      <w:pPr>
        <w:pStyle w:val="Default"/>
        <w:contextualSpacing/>
        <w:jc w:val="center"/>
        <w:rPr>
          <w:b/>
          <w:color w:val="auto"/>
          <w:sz w:val="20"/>
          <w:szCs w:val="20"/>
        </w:rPr>
      </w:pPr>
      <w:r w:rsidRPr="00092BBF">
        <w:rPr>
          <w:b/>
          <w:color w:val="auto"/>
          <w:sz w:val="20"/>
          <w:szCs w:val="20"/>
        </w:rPr>
        <w:t>Table</w:t>
      </w:r>
      <w:r w:rsidR="001473A8" w:rsidRPr="00092BBF">
        <w:rPr>
          <w:b/>
          <w:color w:val="auto"/>
          <w:sz w:val="20"/>
          <w:szCs w:val="20"/>
        </w:rPr>
        <w:t xml:space="preserve"> 4:</w:t>
      </w:r>
      <w:r w:rsidR="00342FF3" w:rsidRPr="00092BBF">
        <w:rPr>
          <w:color w:val="auto"/>
          <w:sz w:val="20"/>
          <w:szCs w:val="20"/>
        </w:rPr>
        <w:t xml:space="preserve">Tourists' nights in the region of Southern and Eastern Serbia in the period 2006-2016 </w:t>
      </w:r>
      <w:r w:rsidR="00746FCA" w:rsidRPr="00092BBF">
        <w:rPr>
          <w:color w:val="auto"/>
          <w:sz w:val="20"/>
          <w:szCs w:val="20"/>
        </w:rPr>
        <w:t>(</w:t>
      </w:r>
      <w:r w:rsidR="00342FF3" w:rsidRPr="00092BBF">
        <w:rPr>
          <w:color w:val="auto"/>
          <w:sz w:val="20"/>
          <w:szCs w:val="20"/>
        </w:rPr>
        <w:t>source: authors based on the data of Statistical Office of the Republic of Serbia</w:t>
      </w:r>
      <w:r w:rsidR="00746FCA" w:rsidRPr="00092BBF">
        <w:rPr>
          <w:color w:val="auto"/>
          <w:sz w:val="20"/>
          <w:szCs w:val="20"/>
        </w:rPr>
        <w:t>)</w:t>
      </w:r>
    </w:p>
    <w:tbl>
      <w:tblPr>
        <w:tblStyle w:val="TableGrid"/>
        <w:tblW w:w="0" w:type="auto"/>
        <w:jc w:val="center"/>
        <w:tblLook w:val="04A0"/>
      </w:tblPr>
      <w:tblGrid>
        <w:gridCol w:w="1397"/>
        <w:gridCol w:w="1655"/>
        <w:gridCol w:w="1638"/>
        <w:gridCol w:w="1412"/>
      </w:tblGrid>
      <w:tr w:rsidR="00F63D88" w:rsidRPr="00092BBF" w:rsidTr="00342FF3">
        <w:trPr>
          <w:trHeight w:val="225"/>
          <w:jc w:val="center"/>
        </w:trPr>
        <w:tc>
          <w:tcPr>
            <w:tcW w:w="1397" w:type="dxa"/>
            <w:vMerge w:val="restart"/>
            <w:vAlign w:val="center"/>
          </w:tcPr>
          <w:p w:rsidR="00F63D88" w:rsidRPr="00092BBF" w:rsidRDefault="00342FF3" w:rsidP="00342FF3">
            <w:pPr>
              <w:pStyle w:val="Default"/>
              <w:contextualSpacing/>
              <w:jc w:val="both"/>
              <w:rPr>
                <w:color w:val="auto"/>
                <w:sz w:val="20"/>
                <w:szCs w:val="20"/>
              </w:rPr>
            </w:pPr>
            <w:r w:rsidRPr="00092BBF">
              <w:rPr>
                <w:color w:val="auto"/>
                <w:sz w:val="20"/>
                <w:szCs w:val="20"/>
              </w:rPr>
              <w:t>Year</w:t>
            </w:r>
          </w:p>
        </w:tc>
        <w:tc>
          <w:tcPr>
            <w:tcW w:w="4705" w:type="dxa"/>
            <w:gridSpan w:val="3"/>
          </w:tcPr>
          <w:p w:rsidR="00F63D88" w:rsidRPr="00092BBF" w:rsidRDefault="00342FF3" w:rsidP="001A72C1">
            <w:pPr>
              <w:pStyle w:val="Default"/>
              <w:contextualSpacing/>
              <w:jc w:val="center"/>
              <w:rPr>
                <w:color w:val="auto"/>
                <w:sz w:val="20"/>
                <w:szCs w:val="20"/>
              </w:rPr>
            </w:pPr>
            <w:r w:rsidRPr="00092BBF">
              <w:rPr>
                <w:color w:val="auto"/>
                <w:sz w:val="20"/>
                <w:szCs w:val="20"/>
              </w:rPr>
              <w:t>Tourists' nights</w:t>
            </w:r>
          </w:p>
        </w:tc>
      </w:tr>
      <w:tr w:rsidR="00F63D88" w:rsidRPr="00092BBF" w:rsidTr="00342FF3">
        <w:trPr>
          <w:trHeight w:val="165"/>
          <w:jc w:val="center"/>
        </w:trPr>
        <w:tc>
          <w:tcPr>
            <w:tcW w:w="1397" w:type="dxa"/>
            <w:vMerge/>
          </w:tcPr>
          <w:p w:rsidR="00F63D88" w:rsidRPr="00092BBF" w:rsidRDefault="00F63D88" w:rsidP="00342FF3">
            <w:pPr>
              <w:pStyle w:val="Default"/>
              <w:contextualSpacing/>
              <w:jc w:val="both"/>
              <w:rPr>
                <w:color w:val="auto"/>
                <w:sz w:val="20"/>
                <w:szCs w:val="20"/>
              </w:rPr>
            </w:pPr>
          </w:p>
        </w:tc>
        <w:tc>
          <w:tcPr>
            <w:tcW w:w="1655" w:type="dxa"/>
          </w:tcPr>
          <w:p w:rsidR="00F63D88" w:rsidRPr="00092BBF" w:rsidRDefault="00342FF3" w:rsidP="00342FF3">
            <w:pPr>
              <w:pStyle w:val="Default"/>
              <w:contextualSpacing/>
              <w:jc w:val="both"/>
              <w:rPr>
                <w:color w:val="auto"/>
                <w:sz w:val="20"/>
                <w:szCs w:val="20"/>
              </w:rPr>
            </w:pPr>
            <w:r w:rsidRPr="00092BBF">
              <w:rPr>
                <w:color w:val="auto"/>
                <w:sz w:val="20"/>
                <w:szCs w:val="20"/>
              </w:rPr>
              <w:t>Domestic tourists</w:t>
            </w:r>
          </w:p>
        </w:tc>
        <w:tc>
          <w:tcPr>
            <w:tcW w:w="1638" w:type="dxa"/>
          </w:tcPr>
          <w:p w:rsidR="00F63D88" w:rsidRPr="00092BBF" w:rsidRDefault="00342FF3" w:rsidP="00342FF3">
            <w:pPr>
              <w:pStyle w:val="Default"/>
              <w:contextualSpacing/>
              <w:jc w:val="both"/>
              <w:rPr>
                <w:color w:val="auto"/>
                <w:sz w:val="20"/>
                <w:szCs w:val="20"/>
              </w:rPr>
            </w:pPr>
            <w:r w:rsidRPr="00092BBF">
              <w:rPr>
                <w:color w:val="auto"/>
                <w:sz w:val="20"/>
                <w:szCs w:val="20"/>
              </w:rPr>
              <w:t>Foreign tourists</w:t>
            </w:r>
          </w:p>
        </w:tc>
        <w:tc>
          <w:tcPr>
            <w:tcW w:w="1412" w:type="dxa"/>
          </w:tcPr>
          <w:p w:rsidR="00F63D88" w:rsidRPr="00092BBF" w:rsidRDefault="00342FF3" w:rsidP="00342FF3">
            <w:pPr>
              <w:pStyle w:val="Default"/>
              <w:contextualSpacing/>
              <w:jc w:val="both"/>
              <w:rPr>
                <w:color w:val="auto"/>
                <w:sz w:val="20"/>
                <w:szCs w:val="20"/>
              </w:rPr>
            </w:pPr>
            <w:r w:rsidRPr="00092BBF">
              <w:rPr>
                <w:color w:val="auto"/>
                <w:sz w:val="20"/>
                <w:szCs w:val="20"/>
              </w:rPr>
              <w:t>Total</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2006.</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1.228.613</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73.995</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1.302.608</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2007.</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1.363.171</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109.536</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1.472.707</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2008.</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1.424.628</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117.107</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1.541.735</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2009.</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1.243.508</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137.948</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1.381.456</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2010.</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1.185.410</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129.297</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1.314.707</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2011.</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1.217.258</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133.501</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1.350.759</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2012.</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1.163.491</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151.943</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1.315.434</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2013.</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957.431</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148.746</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1.106.177</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2014.</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805.322</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190.626</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995.948</w:t>
            </w:r>
          </w:p>
        </w:tc>
      </w:tr>
      <w:tr w:rsidR="00F63D88" w:rsidRPr="00092BBF" w:rsidTr="00342FF3">
        <w:trPr>
          <w:jc w:val="center"/>
        </w:trPr>
        <w:tc>
          <w:tcPr>
            <w:tcW w:w="1397" w:type="dxa"/>
          </w:tcPr>
          <w:p w:rsidR="00F63D88" w:rsidRPr="00092BBF" w:rsidRDefault="00F63D88" w:rsidP="00342FF3">
            <w:pPr>
              <w:pStyle w:val="Default"/>
              <w:contextualSpacing/>
              <w:jc w:val="both"/>
              <w:rPr>
                <w:color w:val="auto"/>
                <w:sz w:val="20"/>
                <w:szCs w:val="20"/>
              </w:rPr>
            </w:pPr>
            <w:r w:rsidRPr="00092BBF">
              <w:rPr>
                <w:color w:val="auto"/>
                <w:sz w:val="20"/>
                <w:szCs w:val="20"/>
              </w:rPr>
              <w:t>2015.</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855.685</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211.313</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1.066.998</w:t>
            </w:r>
          </w:p>
        </w:tc>
      </w:tr>
      <w:tr w:rsidR="00F63D88" w:rsidRPr="00092BBF" w:rsidTr="00342FF3">
        <w:trPr>
          <w:jc w:val="center"/>
        </w:trPr>
        <w:tc>
          <w:tcPr>
            <w:tcW w:w="1397" w:type="dxa"/>
          </w:tcPr>
          <w:p w:rsidR="00F63D88" w:rsidRPr="00092BBF" w:rsidRDefault="001473A8" w:rsidP="00342FF3">
            <w:pPr>
              <w:pStyle w:val="Default"/>
              <w:contextualSpacing/>
              <w:jc w:val="both"/>
              <w:rPr>
                <w:color w:val="auto"/>
                <w:sz w:val="20"/>
                <w:szCs w:val="20"/>
              </w:rPr>
            </w:pPr>
            <w:r w:rsidRPr="00092BBF">
              <w:rPr>
                <w:color w:val="auto"/>
                <w:sz w:val="20"/>
                <w:szCs w:val="20"/>
              </w:rPr>
              <w:t>Jan- Nov</w:t>
            </w:r>
            <w:r w:rsidR="00F63D88" w:rsidRPr="00092BBF">
              <w:rPr>
                <w:color w:val="auto"/>
                <w:sz w:val="20"/>
                <w:szCs w:val="20"/>
              </w:rPr>
              <w:t>2016</w:t>
            </w:r>
          </w:p>
        </w:tc>
        <w:tc>
          <w:tcPr>
            <w:tcW w:w="1655" w:type="dxa"/>
          </w:tcPr>
          <w:p w:rsidR="00F63D88" w:rsidRPr="00092BBF" w:rsidRDefault="00F63D88" w:rsidP="00342FF3">
            <w:pPr>
              <w:pStyle w:val="Default"/>
              <w:contextualSpacing/>
              <w:jc w:val="both"/>
              <w:rPr>
                <w:color w:val="auto"/>
                <w:sz w:val="20"/>
                <w:szCs w:val="20"/>
              </w:rPr>
            </w:pPr>
            <w:r w:rsidRPr="00092BBF">
              <w:rPr>
                <w:color w:val="auto"/>
                <w:sz w:val="20"/>
                <w:szCs w:val="20"/>
              </w:rPr>
              <w:t xml:space="preserve">  867.872</w:t>
            </w:r>
          </w:p>
        </w:tc>
        <w:tc>
          <w:tcPr>
            <w:tcW w:w="1638" w:type="dxa"/>
          </w:tcPr>
          <w:p w:rsidR="00F63D88" w:rsidRPr="00092BBF" w:rsidRDefault="00F63D88" w:rsidP="00342FF3">
            <w:pPr>
              <w:pStyle w:val="Default"/>
              <w:contextualSpacing/>
              <w:jc w:val="both"/>
              <w:rPr>
                <w:color w:val="auto"/>
                <w:sz w:val="20"/>
                <w:szCs w:val="20"/>
              </w:rPr>
            </w:pPr>
            <w:r w:rsidRPr="00092BBF">
              <w:rPr>
                <w:color w:val="auto"/>
                <w:sz w:val="20"/>
                <w:szCs w:val="20"/>
              </w:rPr>
              <w:t>206.810</w:t>
            </w:r>
          </w:p>
        </w:tc>
        <w:tc>
          <w:tcPr>
            <w:tcW w:w="1412" w:type="dxa"/>
          </w:tcPr>
          <w:p w:rsidR="00F63D88" w:rsidRPr="00092BBF" w:rsidRDefault="00F63D88" w:rsidP="00342FF3">
            <w:pPr>
              <w:pStyle w:val="Default"/>
              <w:contextualSpacing/>
              <w:jc w:val="both"/>
              <w:rPr>
                <w:color w:val="auto"/>
                <w:sz w:val="20"/>
                <w:szCs w:val="20"/>
              </w:rPr>
            </w:pPr>
            <w:r w:rsidRPr="00092BBF">
              <w:rPr>
                <w:color w:val="auto"/>
                <w:sz w:val="20"/>
                <w:szCs w:val="20"/>
              </w:rPr>
              <w:t>1.074.682</w:t>
            </w:r>
          </w:p>
        </w:tc>
      </w:tr>
    </w:tbl>
    <w:p w:rsidR="001473A8" w:rsidRPr="00092BBF" w:rsidRDefault="001473A8" w:rsidP="001A72C1">
      <w:pPr>
        <w:pStyle w:val="Default"/>
        <w:contextualSpacing/>
        <w:jc w:val="center"/>
        <w:rPr>
          <w:color w:val="auto"/>
          <w:sz w:val="20"/>
          <w:szCs w:val="20"/>
        </w:rPr>
      </w:pPr>
    </w:p>
    <w:p w:rsidR="00C27F44" w:rsidRPr="00092BBF" w:rsidRDefault="00F447CB" w:rsidP="007E4EB6">
      <w:pPr>
        <w:pStyle w:val="Default"/>
        <w:contextualSpacing/>
        <w:jc w:val="both"/>
        <w:rPr>
          <w:color w:val="auto"/>
          <w:sz w:val="20"/>
          <w:szCs w:val="20"/>
        </w:rPr>
      </w:pPr>
      <w:r w:rsidRPr="00092BBF">
        <w:rPr>
          <w:color w:val="auto"/>
          <w:sz w:val="20"/>
          <w:szCs w:val="20"/>
        </w:rPr>
        <w:t xml:space="preserve">When it comes about the total number of tourists nights in the region of Southern and Eastern Serbia from 2006 to 2008, this number increased (from 1.302.608 tourists nights in 2006 to 1.541.735 tourists nights in 2008). </w:t>
      </w:r>
      <w:r w:rsidR="009200E5" w:rsidRPr="00092BBF">
        <w:rPr>
          <w:color w:val="auto"/>
          <w:sz w:val="20"/>
          <w:szCs w:val="20"/>
        </w:rPr>
        <w:t xml:space="preserve">From 2009 to 2014 there is a decrease in the total number of tourists nights, except in 2011 when the total number of tourists nights increased compared to 2010. In 2015 and 2016 there is an increase in the total number of tourists nights in the region of Southern and Eastern Serbia. </w:t>
      </w:r>
      <w:r w:rsidR="00C27F44" w:rsidRPr="00092BBF">
        <w:rPr>
          <w:color w:val="auto"/>
          <w:sz w:val="20"/>
          <w:szCs w:val="20"/>
        </w:rPr>
        <w:t xml:space="preserve">In the observed period, the </w:t>
      </w:r>
      <w:r w:rsidR="00F15CA9" w:rsidRPr="00092BBF">
        <w:rPr>
          <w:color w:val="auto"/>
          <w:sz w:val="20"/>
          <w:szCs w:val="20"/>
        </w:rPr>
        <w:t>biggest</w:t>
      </w:r>
      <w:r w:rsidR="00C27F44" w:rsidRPr="00092BBF">
        <w:rPr>
          <w:color w:val="auto"/>
          <w:sz w:val="20"/>
          <w:szCs w:val="20"/>
        </w:rPr>
        <w:t xml:space="preserve"> number of domestic tourists nights was in 2008 (1.424.628 nights), and the smallest number of tourists nights in 2014 (805.322 nights). Foreign tourists accomplished the </w:t>
      </w:r>
      <w:r w:rsidR="00F15CA9" w:rsidRPr="00092BBF">
        <w:rPr>
          <w:color w:val="auto"/>
          <w:sz w:val="20"/>
          <w:szCs w:val="20"/>
        </w:rPr>
        <w:t>biggest</w:t>
      </w:r>
      <w:r w:rsidR="00C27F44" w:rsidRPr="00092BBF">
        <w:rPr>
          <w:color w:val="auto"/>
          <w:sz w:val="20"/>
          <w:szCs w:val="20"/>
        </w:rPr>
        <w:t xml:space="preserve"> number of tourists nights in 2015 (211.313 tourists nights), and the smallest number of tourists nights in 2006 (73.995 tourists nights). The </w:t>
      </w:r>
      <w:r w:rsidR="00F15CA9" w:rsidRPr="00092BBF">
        <w:rPr>
          <w:color w:val="auto"/>
          <w:sz w:val="20"/>
          <w:szCs w:val="20"/>
        </w:rPr>
        <w:t>biggest</w:t>
      </w:r>
      <w:r w:rsidR="00C27F44" w:rsidRPr="00092BBF">
        <w:rPr>
          <w:color w:val="auto"/>
          <w:sz w:val="20"/>
          <w:szCs w:val="20"/>
        </w:rPr>
        <w:t xml:space="preserve"> total number of tourists nights accomplished in 2008 (1.541.735 nights), and the smallest total number of tourists nights accomplished in 2014 (995.948 tourists nights). In this, in the total number of tourists nights, the number of domestic tourists nights  was much higher (Table 4).</w:t>
      </w:r>
    </w:p>
    <w:p w:rsidR="00C27F44" w:rsidRPr="00092BBF" w:rsidRDefault="00C27F44" w:rsidP="007E4EB6">
      <w:pPr>
        <w:pStyle w:val="Default"/>
        <w:contextualSpacing/>
        <w:jc w:val="both"/>
        <w:rPr>
          <w:color w:val="auto"/>
          <w:sz w:val="20"/>
          <w:szCs w:val="20"/>
        </w:rPr>
      </w:pPr>
      <w:r w:rsidRPr="00092BBF">
        <w:rPr>
          <w:color w:val="auto"/>
          <w:sz w:val="20"/>
          <w:szCs w:val="20"/>
        </w:rPr>
        <w:t>Graph 2 shows data about tourists' nights (domestic and foreign tourists) in the region of Southern and Eastern Serbia. The data of the Statistical Office of the Republic of Serbia relate to the period from 2006 to November 2016.</w:t>
      </w:r>
    </w:p>
    <w:p w:rsidR="00746FCA" w:rsidRPr="00092BBF" w:rsidRDefault="00746FCA" w:rsidP="001A72C1">
      <w:pPr>
        <w:pStyle w:val="Default"/>
        <w:contextualSpacing/>
        <w:jc w:val="center"/>
        <w:rPr>
          <w:color w:val="auto"/>
          <w:sz w:val="20"/>
          <w:szCs w:val="20"/>
        </w:rPr>
      </w:pPr>
    </w:p>
    <w:p w:rsidR="00CE1870" w:rsidRPr="00092BBF" w:rsidRDefault="00AA0FA9" w:rsidP="0019394D">
      <w:pPr>
        <w:pStyle w:val="Default"/>
        <w:contextualSpacing/>
        <w:jc w:val="center"/>
        <w:rPr>
          <w:color w:val="auto"/>
          <w:sz w:val="20"/>
          <w:szCs w:val="20"/>
        </w:rPr>
      </w:pPr>
      <w:r w:rsidRPr="00092BBF">
        <w:rPr>
          <w:noProof/>
          <w:color w:val="auto"/>
          <w:sz w:val="20"/>
          <w:szCs w:val="20"/>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1870" w:rsidRPr="00092BBF" w:rsidRDefault="00CE1870" w:rsidP="001A72C1">
      <w:pPr>
        <w:pStyle w:val="Default"/>
        <w:contextualSpacing/>
        <w:jc w:val="both"/>
        <w:rPr>
          <w:color w:val="auto"/>
          <w:sz w:val="20"/>
          <w:szCs w:val="20"/>
        </w:rPr>
      </w:pPr>
    </w:p>
    <w:p w:rsidR="00CE1870" w:rsidRPr="00092BBF" w:rsidRDefault="00342FF3" w:rsidP="0019394D">
      <w:pPr>
        <w:pStyle w:val="Default"/>
        <w:contextualSpacing/>
        <w:jc w:val="center"/>
        <w:rPr>
          <w:color w:val="auto"/>
          <w:sz w:val="20"/>
          <w:szCs w:val="20"/>
        </w:rPr>
      </w:pPr>
      <w:r w:rsidRPr="00092BBF">
        <w:rPr>
          <w:b/>
          <w:color w:val="auto"/>
          <w:sz w:val="20"/>
          <w:szCs w:val="20"/>
        </w:rPr>
        <w:t>Graph</w:t>
      </w:r>
      <w:r w:rsidR="0019394D" w:rsidRPr="00092BBF">
        <w:rPr>
          <w:b/>
          <w:color w:val="auto"/>
          <w:sz w:val="20"/>
          <w:szCs w:val="20"/>
        </w:rPr>
        <w:t xml:space="preserve"> 2:</w:t>
      </w:r>
      <w:r w:rsidRPr="00092BBF">
        <w:rPr>
          <w:color w:val="auto"/>
          <w:sz w:val="20"/>
          <w:szCs w:val="20"/>
        </w:rPr>
        <w:t xml:space="preserve">Tourists' nights in the region of Southern and Eastern Serbia </w:t>
      </w:r>
      <w:r w:rsidR="0019394D" w:rsidRPr="00092BBF">
        <w:rPr>
          <w:color w:val="auto"/>
          <w:sz w:val="20"/>
          <w:szCs w:val="20"/>
        </w:rPr>
        <w:t>(</w:t>
      </w:r>
      <w:r w:rsidRPr="00092BBF">
        <w:rPr>
          <w:color w:val="auto"/>
          <w:sz w:val="20"/>
          <w:szCs w:val="20"/>
        </w:rPr>
        <w:t>source: authors based on the data of Statistical Office of the Republic of Serbia</w:t>
      </w:r>
      <w:r w:rsidR="0019394D" w:rsidRPr="00092BBF">
        <w:rPr>
          <w:color w:val="auto"/>
          <w:sz w:val="20"/>
          <w:szCs w:val="20"/>
        </w:rPr>
        <w:t>)</w:t>
      </w:r>
    </w:p>
    <w:p w:rsidR="00AE7197" w:rsidRPr="00092BBF" w:rsidRDefault="00AE7197" w:rsidP="001A72C1">
      <w:pPr>
        <w:pStyle w:val="Default"/>
        <w:contextualSpacing/>
        <w:jc w:val="both"/>
        <w:rPr>
          <w:color w:val="auto"/>
          <w:sz w:val="20"/>
          <w:szCs w:val="20"/>
        </w:rPr>
      </w:pPr>
    </w:p>
    <w:p w:rsidR="00FA6105" w:rsidRPr="00092BBF" w:rsidRDefault="00BD35E5" w:rsidP="001A72C1">
      <w:pPr>
        <w:pStyle w:val="Default"/>
        <w:contextualSpacing/>
        <w:jc w:val="both"/>
        <w:rPr>
          <w:color w:val="auto"/>
          <w:sz w:val="20"/>
          <w:szCs w:val="20"/>
        </w:rPr>
      </w:pPr>
      <w:r w:rsidRPr="00092BBF">
        <w:rPr>
          <w:color w:val="auto"/>
          <w:sz w:val="20"/>
          <w:szCs w:val="20"/>
        </w:rPr>
        <w:t>Table 5 shows data about</w:t>
      </w:r>
      <w:r w:rsidR="00D9702E" w:rsidRPr="00092BBF">
        <w:rPr>
          <w:color w:val="auto"/>
          <w:sz w:val="20"/>
          <w:szCs w:val="20"/>
        </w:rPr>
        <w:t xml:space="preserve"> number of tourists arrivals in the districts of Southern and Eastern Serbia in the period from 2012 to 2015. Based on the data from Table 5, we can notice that in 2012 the </w:t>
      </w:r>
      <w:r w:rsidR="00F15CA9" w:rsidRPr="00092BBF">
        <w:rPr>
          <w:color w:val="auto"/>
          <w:sz w:val="20"/>
          <w:szCs w:val="20"/>
        </w:rPr>
        <w:t>biggest</w:t>
      </w:r>
      <w:r w:rsidR="00D9702E" w:rsidRPr="00092BBF">
        <w:rPr>
          <w:color w:val="auto"/>
          <w:sz w:val="20"/>
          <w:szCs w:val="20"/>
        </w:rPr>
        <w:t xml:space="preserve"> number of </w:t>
      </w:r>
      <w:r w:rsidRPr="00092BBF">
        <w:rPr>
          <w:color w:val="auto"/>
          <w:sz w:val="20"/>
          <w:szCs w:val="20"/>
        </w:rPr>
        <w:t xml:space="preserve">tourists arrivals was </w:t>
      </w:r>
      <w:r w:rsidR="00D9702E" w:rsidRPr="00092BBF">
        <w:rPr>
          <w:color w:val="auto"/>
          <w:sz w:val="20"/>
          <w:szCs w:val="20"/>
        </w:rPr>
        <w:t xml:space="preserve"> in Zajecar district (82.177 arrivals).On second place is Nis district (79.631 arrivals), on third place is Bor district (68.023 arrivals), while the smallest number of tourists arrivals registered in Pirot district (9.455 arrivals). </w:t>
      </w:r>
      <w:r w:rsidR="00FC7BEE" w:rsidRPr="00092BBF">
        <w:rPr>
          <w:color w:val="auto"/>
          <w:sz w:val="20"/>
          <w:szCs w:val="20"/>
        </w:rPr>
        <w:t xml:space="preserve">During  2013 and 2014 the </w:t>
      </w:r>
      <w:r w:rsidR="00F15CA9" w:rsidRPr="00092BBF">
        <w:rPr>
          <w:color w:val="auto"/>
          <w:sz w:val="20"/>
          <w:szCs w:val="20"/>
        </w:rPr>
        <w:t>biggest</w:t>
      </w:r>
      <w:r w:rsidR="00FC7BEE" w:rsidRPr="00092BBF">
        <w:rPr>
          <w:color w:val="auto"/>
          <w:sz w:val="20"/>
          <w:szCs w:val="20"/>
        </w:rPr>
        <w:t xml:space="preserve"> number of tourists arrivals was in the Zajecar district, on the second place is Nis district and on the third place is Bor district.In 2015 the </w:t>
      </w:r>
      <w:r w:rsidR="00F15CA9" w:rsidRPr="00092BBF">
        <w:rPr>
          <w:color w:val="auto"/>
          <w:sz w:val="20"/>
          <w:szCs w:val="20"/>
        </w:rPr>
        <w:t>biggest</w:t>
      </w:r>
      <w:r w:rsidR="00FC7BEE" w:rsidRPr="00092BBF">
        <w:rPr>
          <w:color w:val="auto"/>
          <w:sz w:val="20"/>
          <w:szCs w:val="20"/>
        </w:rPr>
        <w:t xml:space="preserve"> number of tourists arrivals was in Nis district (83.292 arrivals), then in Zajecar district (81.309 arrivals) and Bor district (63.524 arrivals), while the smallest number of arrivals in </w:t>
      </w:r>
      <w:r w:rsidR="00F15CA9" w:rsidRPr="00092BBF">
        <w:rPr>
          <w:color w:val="auto"/>
          <w:sz w:val="20"/>
          <w:szCs w:val="20"/>
        </w:rPr>
        <w:t>this</w:t>
      </w:r>
      <w:r w:rsidR="00FC7BEE" w:rsidRPr="00092BBF">
        <w:rPr>
          <w:color w:val="auto"/>
          <w:sz w:val="20"/>
          <w:szCs w:val="20"/>
        </w:rPr>
        <w:t xml:space="preserve"> year was in the Danube district (10.617 arrivals).</w:t>
      </w:r>
    </w:p>
    <w:p w:rsidR="00FC7BEE" w:rsidRPr="00092BBF" w:rsidRDefault="00FC7BEE" w:rsidP="001A72C1">
      <w:pPr>
        <w:pStyle w:val="Default"/>
        <w:contextualSpacing/>
        <w:jc w:val="both"/>
        <w:rPr>
          <w:color w:val="auto"/>
          <w:sz w:val="20"/>
          <w:szCs w:val="20"/>
        </w:rPr>
      </w:pPr>
    </w:p>
    <w:p w:rsidR="00F63D88" w:rsidRPr="00092BBF" w:rsidRDefault="00D0461C" w:rsidP="001A72C1">
      <w:pPr>
        <w:pStyle w:val="Default"/>
        <w:contextualSpacing/>
        <w:jc w:val="center"/>
        <w:rPr>
          <w:color w:val="auto"/>
          <w:sz w:val="20"/>
          <w:szCs w:val="20"/>
        </w:rPr>
      </w:pPr>
      <w:r w:rsidRPr="00092BBF">
        <w:rPr>
          <w:b/>
          <w:color w:val="auto"/>
          <w:sz w:val="20"/>
          <w:szCs w:val="20"/>
        </w:rPr>
        <w:t>Table</w:t>
      </w:r>
      <w:r w:rsidR="00FF23A2" w:rsidRPr="00092BBF">
        <w:rPr>
          <w:b/>
          <w:color w:val="auto"/>
          <w:sz w:val="20"/>
          <w:szCs w:val="20"/>
        </w:rPr>
        <w:t xml:space="preserve"> 5:</w:t>
      </w:r>
      <w:r w:rsidR="00D62135" w:rsidRPr="00092BBF">
        <w:rPr>
          <w:color w:val="auto"/>
          <w:sz w:val="20"/>
          <w:szCs w:val="20"/>
        </w:rPr>
        <w:t>Tourists' arrivals in districts of</w:t>
      </w:r>
      <w:r w:rsidR="00342FF3" w:rsidRPr="00092BBF">
        <w:rPr>
          <w:color w:val="auto"/>
          <w:sz w:val="20"/>
          <w:szCs w:val="20"/>
        </w:rPr>
        <w:t xml:space="preserve"> the region of Southern and Eastern Serbia in the period 2012-2015 </w:t>
      </w:r>
      <w:r w:rsidR="00746FCA" w:rsidRPr="00092BBF">
        <w:rPr>
          <w:color w:val="auto"/>
          <w:sz w:val="20"/>
          <w:szCs w:val="20"/>
        </w:rPr>
        <w:t>(</w:t>
      </w:r>
      <w:r w:rsidR="0086067E" w:rsidRPr="00092BBF">
        <w:rPr>
          <w:color w:val="auto"/>
          <w:sz w:val="20"/>
          <w:szCs w:val="20"/>
        </w:rPr>
        <w:t>source: authors based on the data of Statistical Office of the Republic of Serbia</w:t>
      </w:r>
      <w:r w:rsidR="00746FCA" w:rsidRPr="00092BBF">
        <w:rPr>
          <w:color w:val="auto"/>
          <w:sz w:val="20"/>
          <w:szCs w:val="20"/>
        </w:rPr>
        <w:t>)</w:t>
      </w:r>
    </w:p>
    <w:tbl>
      <w:tblPr>
        <w:tblStyle w:val="TableGrid"/>
        <w:tblW w:w="0" w:type="auto"/>
        <w:jc w:val="center"/>
        <w:tblLook w:val="04A0"/>
      </w:tblPr>
      <w:tblGrid>
        <w:gridCol w:w="1772"/>
        <w:gridCol w:w="1409"/>
        <w:gridCol w:w="1410"/>
        <w:gridCol w:w="1410"/>
        <w:gridCol w:w="1410"/>
      </w:tblGrid>
      <w:tr w:rsidR="00F63D88" w:rsidRPr="00092BBF" w:rsidTr="00F879BB">
        <w:trPr>
          <w:trHeight w:val="570"/>
          <w:jc w:val="center"/>
        </w:trPr>
        <w:tc>
          <w:tcPr>
            <w:tcW w:w="1772" w:type="dxa"/>
            <w:vMerge w:val="restart"/>
            <w:vAlign w:val="center"/>
          </w:tcPr>
          <w:p w:rsidR="00F63D88" w:rsidRPr="00092BBF" w:rsidRDefault="0086067E" w:rsidP="0086067E">
            <w:pPr>
              <w:pStyle w:val="Default"/>
              <w:contextualSpacing/>
              <w:jc w:val="both"/>
              <w:rPr>
                <w:color w:val="auto"/>
                <w:sz w:val="20"/>
                <w:szCs w:val="20"/>
              </w:rPr>
            </w:pPr>
            <w:r w:rsidRPr="00092BBF">
              <w:rPr>
                <w:color w:val="auto"/>
                <w:sz w:val="20"/>
                <w:szCs w:val="20"/>
              </w:rPr>
              <w:t>Districts</w:t>
            </w:r>
          </w:p>
        </w:tc>
        <w:tc>
          <w:tcPr>
            <w:tcW w:w="5639" w:type="dxa"/>
            <w:gridSpan w:val="4"/>
            <w:vAlign w:val="center"/>
          </w:tcPr>
          <w:p w:rsidR="00F63D88" w:rsidRPr="00092BBF" w:rsidRDefault="0086067E" w:rsidP="0086067E">
            <w:pPr>
              <w:pStyle w:val="Default"/>
              <w:contextualSpacing/>
              <w:jc w:val="center"/>
              <w:rPr>
                <w:color w:val="auto"/>
                <w:sz w:val="20"/>
                <w:szCs w:val="20"/>
              </w:rPr>
            </w:pPr>
            <w:r w:rsidRPr="00092BBF">
              <w:rPr>
                <w:color w:val="auto"/>
                <w:sz w:val="20"/>
                <w:szCs w:val="20"/>
              </w:rPr>
              <w:t>Tourists</w:t>
            </w:r>
            <w:r w:rsidR="00FF23A2" w:rsidRPr="00092BBF">
              <w:rPr>
                <w:color w:val="auto"/>
                <w:sz w:val="20"/>
                <w:szCs w:val="20"/>
              </w:rPr>
              <w:t xml:space="preserve"> (</w:t>
            </w:r>
            <w:r w:rsidRPr="00092BBF">
              <w:rPr>
                <w:color w:val="auto"/>
                <w:sz w:val="20"/>
                <w:szCs w:val="20"/>
              </w:rPr>
              <w:t>domesticandforeign</w:t>
            </w:r>
            <w:r w:rsidR="00FF23A2" w:rsidRPr="00092BBF">
              <w:rPr>
                <w:color w:val="auto"/>
                <w:sz w:val="20"/>
                <w:szCs w:val="20"/>
              </w:rPr>
              <w:t>)</w:t>
            </w:r>
          </w:p>
        </w:tc>
      </w:tr>
      <w:tr w:rsidR="00F63D88" w:rsidRPr="00092BBF" w:rsidTr="00F879BB">
        <w:trPr>
          <w:trHeight w:val="450"/>
          <w:jc w:val="center"/>
        </w:trPr>
        <w:tc>
          <w:tcPr>
            <w:tcW w:w="1772" w:type="dxa"/>
            <w:vMerge/>
          </w:tcPr>
          <w:p w:rsidR="00F63D88" w:rsidRPr="00092BBF" w:rsidRDefault="00F63D88" w:rsidP="0086067E">
            <w:pPr>
              <w:pStyle w:val="Default"/>
              <w:contextualSpacing/>
              <w:jc w:val="both"/>
              <w:rPr>
                <w:color w:val="auto"/>
                <w:sz w:val="20"/>
                <w:szCs w:val="20"/>
              </w:rPr>
            </w:pPr>
          </w:p>
        </w:tc>
        <w:tc>
          <w:tcPr>
            <w:tcW w:w="1409"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2012.</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2013.</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2014.</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2015.</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Danube D</w:t>
            </w:r>
            <w:r w:rsidR="00F879BB"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color w:val="auto"/>
                <w:sz w:val="20"/>
                <w:szCs w:val="20"/>
              </w:rPr>
              <w:t>13.815</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17.282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12.572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10.617</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Branicevo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30.490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32.569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39.885</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45.154</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Bor D</w:t>
            </w:r>
            <w:r w:rsidR="00F879BB"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68.023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59.449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56.789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63.524</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Zajecar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82.177</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82.659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70.769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81.309</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Nis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79.631</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64.990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70.413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83.292</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Toplica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27.887</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24.208</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22.990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27.170</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Pirot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9.455</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9.181</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11.432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11.589</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Jablanica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20.539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23.416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22.397</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20.790</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Pcinja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21.689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21.055</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22.282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18.333</w:t>
            </w:r>
          </w:p>
        </w:tc>
      </w:tr>
    </w:tbl>
    <w:p w:rsidR="00AE7197" w:rsidRPr="00092BBF" w:rsidRDefault="00AE7197" w:rsidP="001A72C1">
      <w:pPr>
        <w:pStyle w:val="Default"/>
        <w:contextualSpacing/>
        <w:jc w:val="both"/>
        <w:rPr>
          <w:color w:val="auto"/>
          <w:sz w:val="20"/>
          <w:szCs w:val="20"/>
        </w:rPr>
      </w:pPr>
    </w:p>
    <w:p w:rsidR="00DF5E8A" w:rsidRPr="00092BBF" w:rsidRDefault="00DF5E8A" w:rsidP="00DF5E8A">
      <w:pPr>
        <w:pStyle w:val="Default"/>
        <w:contextualSpacing/>
        <w:jc w:val="both"/>
        <w:rPr>
          <w:color w:val="auto"/>
          <w:sz w:val="20"/>
          <w:szCs w:val="20"/>
        </w:rPr>
      </w:pPr>
      <w:r w:rsidRPr="00092BBF">
        <w:rPr>
          <w:color w:val="auto"/>
          <w:sz w:val="20"/>
          <w:szCs w:val="20"/>
        </w:rPr>
        <w:t>Graph 3 shows data about tourists' arrivals (domestic and foreign tourists) in individual districts of the region of Southern and Eastern Serbia. The data of the Statistical Office of the Republic of Serbia relate to the period from 2012 to 2015.</w:t>
      </w:r>
    </w:p>
    <w:p w:rsidR="00DF5E8A" w:rsidRPr="00092BBF" w:rsidRDefault="00DF5E8A" w:rsidP="001A72C1">
      <w:pPr>
        <w:pStyle w:val="Default"/>
        <w:contextualSpacing/>
        <w:jc w:val="both"/>
        <w:rPr>
          <w:color w:val="auto"/>
          <w:sz w:val="20"/>
          <w:szCs w:val="20"/>
        </w:rPr>
      </w:pPr>
    </w:p>
    <w:p w:rsidR="00E537B3" w:rsidRPr="00092BBF" w:rsidRDefault="00306409" w:rsidP="00E537B3">
      <w:pPr>
        <w:pStyle w:val="Default"/>
        <w:contextualSpacing/>
        <w:jc w:val="center"/>
        <w:rPr>
          <w:color w:val="auto"/>
          <w:sz w:val="20"/>
          <w:szCs w:val="20"/>
        </w:rPr>
      </w:pPr>
      <w:r w:rsidRPr="00092BBF">
        <w:rPr>
          <w:noProof/>
          <w:color w:val="auto"/>
          <w:sz w:val="20"/>
          <w:szCs w:val="20"/>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537B3" w:rsidRPr="00092BBF" w:rsidRDefault="00E537B3" w:rsidP="00E537B3">
      <w:pPr>
        <w:pStyle w:val="Default"/>
        <w:contextualSpacing/>
        <w:jc w:val="center"/>
        <w:rPr>
          <w:color w:val="auto"/>
          <w:sz w:val="20"/>
          <w:szCs w:val="20"/>
        </w:rPr>
      </w:pPr>
    </w:p>
    <w:p w:rsidR="00E537B3" w:rsidRPr="00092BBF" w:rsidRDefault="00E537B3" w:rsidP="00E537B3">
      <w:pPr>
        <w:pStyle w:val="Default"/>
        <w:contextualSpacing/>
        <w:jc w:val="center"/>
        <w:rPr>
          <w:color w:val="auto"/>
          <w:sz w:val="20"/>
          <w:szCs w:val="20"/>
        </w:rPr>
      </w:pPr>
      <w:r w:rsidRPr="00092BBF">
        <w:rPr>
          <w:b/>
          <w:color w:val="auto"/>
          <w:sz w:val="20"/>
          <w:szCs w:val="20"/>
        </w:rPr>
        <w:t>Grafik 3:</w:t>
      </w:r>
      <w:r w:rsidR="00D62135" w:rsidRPr="00092BBF">
        <w:rPr>
          <w:color w:val="auto"/>
          <w:sz w:val="20"/>
          <w:szCs w:val="20"/>
        </w:rPr>
        <w:t>Tourists' arrivals in districts of</w:t>
      </w:r>
      <w:r w:rsidR="0086067E" w:rsidRPr="00092BBF">
        <w:rPr>
          <w:color w:val="auto"/>
          <w:sz w:val="20"/>
          <w:szCs w:val="20"/>
        </w:rPr>
        <w:t xml:space="preserve"> the region of Southern and Eastern Serbia </w:t>
      </w:r>
      <w:r w:rsidRPr="00092BBF">
        <w:rPr>
          <w:color w:val="auto"/>
          <w:sz w:val="20"/>
          <w:szCs w:val="20"/>
        </w:rPr>
        <w:t>(</w:t>
      </w:r>
      <w:r w:rsidR="0086067E" w:rsidRPr="00092BBF">
        <w:rPr>
          <w:color w:val="auto"/>
          <w:sz w:val="20"/>
          <w:szCs w:val="20"/>
        </w:rPr>
        <w:t>source: authors based on the data of Statistical Office of the Republic of Serbia</w:t>
      </w:r>
      <w:r w:rsidRPr="00092BBF">
        <w:rPr>
          <w:color w:val="auto"/>
          <w:sz w:val="20"/>
          <w:szCs w:val="20"/>
        </w:rPr>
        <w:t>)</w:t>
      </w:r>
    </w:p>
    <w:p w:rsidR="00746FCA" w:rsidRPr="00092BBF" w:rsidRDefault="00746FCA" w:rsidP="00E537B3">
      <w:pPr>
        <w:pStyle w:val="Default"/>
        <w:contextualSpacing/>
        <w:jc w:val="center"/>
        <w:rPr>
          <w:b/>
          <w:color w:val="auto"/>
          <w:sz w:val="20"/>
          <w:szCs w:val="20"/>
        </w:rPr>
      </w:pPr>
    </w:p>
    <w:p w:rsidR="007E4EB6" w:rsidRPr="00092BBF" w:rsidRDefault="00465986" w:rsidP="00100D78">
      <w:pPr>
        <w:pStyle w:val="Default"/>
        <w:contextualSpacing/>
        <w:jc w:val="both"/>
        <w:rPr>
          <w:color w:val="auto"/>
          <w:sz w:val="20"/>
          <w:szCs w:val="20"/>
        </w:rPr>
      </w:pPr>
      <w:r w:rsidRPr="00092BBF">
        <w:rPr>
          <w:color w:val="auto"/>
          <w:sz w:val="20"/>
          <w:szCs w:val="20"/>
        </w:rPr>
        <w:t xml:space="preserve">Table 6 shows data about the number of tourists nights in the districts of Southern and Eastern Serbia in the period from 2012 to 2015. The </w:t>
      </w:r>
      <w:r w:rsidR="00F15CA9" w:rsidRPr="00092BBF">
        <w:rPr>
          <w:color w:val="auto"/>
          <w:sz w:val="20"/>
          <w:szCs w:val="20"/>
        </w:rPr>
        <w:t>biggest</w:t>
      </w:r>
      <w:r w:rsidRPr="00092BBF">
        <w:rPr>
          <w:color w:val="auto"/>
          <w:sz w:val="20"/>
          <w:szCs w:val="20"/>
        </w:rPr>
        <w:t xml:space="preserve"> number of tourists nights in 2012 accomplished in Zajecar district (431.066 tourists nights), on the second place was Nis district (290.984 tourists nights), whi</w:t>
      </w:r>
      <w:r w:rsidR="00F15CA9" w:rsidRPr="00092BBF">
        <w:rPr>
          <w:color w:val="auto"/>
          <w:sz w:val="20"/>
          <w:szCs w:val="20"/>
        </w:rPr>
        <w:t>le on the third place was Bordistrict</w:t>
      </w:r>
      <w:r w:rsidRPr="00092BBF">
        <w:rPr>
          <w:color w:val="auto"/>
          <w:sz w:val="20"/>
          <w:szCs w:val="20"/>
        </w:rPr>
        <w:t xml:space="preserve"> (164.169 tourists nights). The smallest number of tourists nights in this year was accomplished in the Danube district (24.674 tourists nights). </w:t>
      </w:r>
      <w:r w:rsidR="00AA0182" w:rsidRPr="00092BBF">
        <w:rPr>
          <w:color w:val="auto"/>
          <w:sz w:val="20"/>
          <w:szCs w:val="20"/>
        </w:rPr>
        <w:t xml:space="preserve">In 2013, the biggest number of tourists nights accomplished in Zajecar district (426.906 tourists nights), on the second place was Bor district (146.528 tourists nights); while on the third place was Toplica district (133.303 tourists nights). The smallest number of tourists nights in this year accomplished in Pirot district (18.556 nights). In 2014, on the first, second and third place in the number of tourists nights were, also, the Zajecar district (319.554 tourists nights), Bor district (136.252 tourists nights) and Toplica district (135.179 tourists nights), and the smallest number of tourists nights accomplished in the Danube district (17.782 tourists nights). </w:t>
      </w:r>
      <w:r w:rsidR="00100D78" w:rsidRPr="00092BBF">
        <w:rPr>
          <w:color w:val="auto"/>
          <w:sz w:val="20"/>
          <w:szCs w:val="20"/>
        </w:rPr>
        <w:t>In 2015, the biggest number of tourists nights was accomplished in the Zajecar district (319.909 tourists nights), then in the Nis district (158.919 tourists nights) and Toplica district (157.013 tourists nights), while the smallest number of tourists nights, as well as in the previous year, was accomplished in the Danube district (20.666 tourists nights). The data from Table 6 show that in the observed period the biggest number of tourists nights accomplished in the Zajecar district.</w:t>
      </w:r>
    </w:p>
    <w:p w:rsidR="00100D78" w:rsidRPr="00092BBF" w:rsidRDefault="00100D78" w:rsidP="00100D78">
      <w:pPr>
        <w:pStyle w:val="Default"/>
        <w:contextualSpacing/>
        <w:jc w:val="both"/>
        <w:rPr>
          <w:b/>
          <w:color w:val="auto"/>
          <w:sz w:val="20"/>
          <w:szCs w:val="20"/>
        </w:rPr>
      </w:pPr>
    </w:p>
    <w:p w:rsidR="00F63D88" w:rsidRPr="00092BBF" w:rsidRDefault="00D0461C" w:rsidP="001A72C1">
      <w:pPr>
        <w:pStyle w:val="Default"/>
        <w:contextualSpacing/>
        <w:jc w:val="center"/>
        <w:rPr>
          <w:b/>
          <w:color w:val="auto"/>
          <w:sz w:val="20"/>
          <w:szCs w:val="20"/>
        </w:rPr>
      </w:pPr>
      <w:r w:rsidRPr="00092BBF">
        <w:rPr>
          <w:b/>
          <w:color w:val="auto"/>
          <w:sz w:val="20"/>
          <w:szCs w:val="20"/>
        </w:rPr>
        <w:t>Table</w:t>
      </w:r>
      <w:r w:rsidR="00FF23A2" w:rsidRPr="00092BBF">
        <w:rPr>
          <w:b/>
          <w:color w:val="auto"/>
          <w:sz w:val="20"/>
          <w:szCs w:val="20"/>
        </w:rPr>
        <w:t xml:space="preserve"> 6:</w:t>
      </w:r>
      <w:r w:rsidR="00D62135" w:rsidRPr="00092BBF">
        <w:rPr>
          <w:color w:val="auto"/>
          <w:sz w:val="20"/>
          <w:szCs w:val="20"/>
        </w:rPr>
        <w:t>Tourists' nights in districts of</w:t>
      </w:r>
      <w:r w:rsidR="0086067E" w:rsidRPr="00092BBF">
        <w:rPr>
          <w:color w:val="auto"/>
          <w:sz w:val="20"/>
          <w:szCs w:val="20"/>
        </w:rPr>
        <w:t xml:space="preserve"> the region of Southern and Eastern Serbia in the period 2012-2015 </w:t>
      </w:r>
      <w:r w:rsidR="00746FCA" w:rsidRPr="00092BBF">
        <w:rPr>
          <w:color w:val="auto"/>
          <w:sz w:val="20"/>
          <w:szCs w:val="20"/>
        </w:rPr>
        <w:t>(</w:t>
      </w:r>
      <w:r w:rsidR="0086067E" w:rsidRPr="00092BBF">
        <w:rPr>
          <w:color w:val="auto"/>
          <w:sz w:val="20"/>
          <w:szCs w:val="20"/>
        </w:rPr>
        <w:t>source: authors based on the data of Statistical Office of the Republic of Serbia</w:t>
      </w:r>
      <w:r w:rsidR="00746FCA" w:rsidRPr="00092BBF">
        <w:rPr>
          <w:color w:val="auto"/>
          <w:sz w:val="20"/>
          <w:szCs w:val="20"/>
        </w:rPr>
        <w:t>)</w:t>
      </w:r>
    </w:p>
    <w:tbl>
      <w:tblPr>
        <w:tblStyle w:val="TableGrid"/>
        <w:tblW w:w="0" w:type="auto"/>
        <w:jc w:val="center"/>
        <w:tblLook w:val="04A0"/>
      </w:tblPr>
      <w:tblGrid>
        <w:gridCol w:w="1772"/>
        <w:gridCol w:w="1409"/>
        <w:gridCol w:w="1410"/>
        <w:gridCol w:w="1410"/>
        <w:gridCol w:w="1410"/>
      </w:tblGrid>
      <w:tr w:rsidR="00F63D88" w:rsidRPr="00092BBF" w:rsidTr="00F879BB">
        <w:trPr>
          <w:trHeight w:val="570"/>
          <w:jc w:val="center"/>
        </w:trPr>
        <w:tc>
          <w:tcPr>
            <w:tcW w:w="1772" w:type="dxa"/>
            <w:vMerge w:val="restart"/>
            <w:vAlign w:val="center"/>
          </w:tcPr>
          <w:p w:rsidR="00F63D88" w:rsidRPr="00092BBF" w:rsidRDefault="0086067E" w:rsidP="0086067E">
            <w:pPr>
              <w:pStyle w:val="Default"/>
              <w:contextualSpacing/>
              <w:jc w:val="both"/>
              <w:rPr>
                <w:color w:val="auto"/>
                <w:sz w:val="20"/>
                <w:szCs w:val="20"/>
              </w:rPr>
            </w:pPr>
            <w:r w:rsidRPr="00092BBF">
              <w:rPr>
                <w:color w:val="auto"/>
                <w:sz w:val="20"/>
                <w:szCs w:val="20"/>
              </w:rPr>
              <w:t>Districts</w:t>
            </w:r>
          </w:p>
        </w:tc>
        <w:tc>
          <w:tcPr>
            <w:tcW w:w="5639" w:type="dxa"/>
            <w:gridSpan w:val="4"/>
            <w:vAlign w:val="center"/>
          </w:tcPr>
          <w:p w:rsidR="00F63D88" w:rsidRPr="00092BBF" w:rsidRDefault="0086067E" w:rsidP="0086067E">
            <w:pPr>
              <w:pStyle w:val="Default"/>
              <w:contextualSpacing/>
              <w:jc w:val="center"/>
              <w:rPr>
                <w:color w:val="auto"/>
                <w:sz w:val="20"/>
                <w:szCs w:val="20"/>
              </w:rPr>
            </w:pPr>
            <w:r w:rsidRPr="00092BBF">
              <w:rPr>
                <w:color w:val="auto"/>
                <w:sz w:val="20"/>
                <w:szCs w:val="20"/>
              </w:rPr>
              <w:t xml:space="preserve">Tourists' nights </w:t>
            </w:r>
            <w:r w:rsidR="00FF23A2" w:rsidRPr="00092BBF">
              <w:rPr>
                <w:color w:val="auto"/>
                <w:sz w:val="20"/>
                <w:szCs w:val="20"/>
              </w:rPr>
              <w:t>(</w:t>
            </w:r>
            <w:r w:rsidRPr="00092BBF">
              <w:rPr>
                <w:color w:val="auto"/>
                <w:sz w:val="20"/>
                <w:szCs w:val="20"/>
              </w:rPr>
              <w:t>domestic and foreign</w:t>
            </w:r>
            <w:r w:rsidR="00FF23A2" w:rsidRPr="00092BBF">
              <w:rPr>
                <w:color w:val="auto"/>
                <w:sz w:val="20"/>
                <w:szCs w:val="20"/>
              </w:rPr>
              <w:t xml:space="preserve">) </w:t>
            </w:r>
          </w:p>
        </w:tc>
      </w:tr>
      <w:tr w:rsidR="00F63D88" w:rsidRPr="00092BBF" w:rsidTr="00F879BB">
        <w:trPr>
          <w:trHeight w:val="450"/>
          <w:jc w:val="center"/>
        </w:trPr>
        <w:tc>
          <w:tcPr>
            <w:tcW w:w="1772" w:type="dxa"/>
            <w:vMerge/>
          </w:tcPr>
          <w:p w:rsidR="00F63D88" w:rsidRPr="00092BBF" w:rsidRDefault="00F63D88" w:rsidP="0086067E">
            <w:pPr>
              <w:pStyle w:val="Default"/>
              <w:contextualSpacing/>
              <w:jc w:val="both"/>
              <w:rPr>
                <w:color w:val="auto"/>
                <w:sz w:val="20"/>
                <w:szCs w:val="20"/>
              </w:rPr>
            </w:pPr>
          </w:p>
        </w:tc>
        <w:tc>
          <w:tcPr>
            <w:tcW w:w="1409"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2012.</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2013.</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2014.</w:t>
            </w:r>
          </w:p>
        </w:tc>
        <w:tc>
          <w:tcPr>
            <w:tcW w:w="1410" w:type="dxa"/>
            <w:vAlign w:val="center"/>
          </w:tcPr>
          <w:p w:rsidR="00F63D88" w:rsidRPr="00092BBF" w:rsidRDefault="00F63D88" w:rsidP="0086067E">
            <w:pPr>
              <w:pStyle w:val="Default"/>
              <w:contextualSpacing/>
              <w:jc w:val="both"/>
              <w:rPr>
                <w:color w:val="auto"/>
                <w:sz w:val="20"/>
                <w:szCs w:val="20"/>
              </w:rPr>
            </w:pPr>
            <w:r w:rsidRPr="00092BBF">
              <w:rPr>
                <w:color w:val="auto"/>
                <w:sz w:val="20"/>
                <w:szCs w:val="20"/>
              </w:rPr>
              <w:t>2015.</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Danube D</w:t>
            </w:r>
            <w:r w:rsidR="00F879BB"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color w:val="auto"/>
                <w:sz w:val="20"/>
                <w:szCs w:val="20"/>
              </w:rPr>
              <w:t xml:space="preserve">  24.674</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21.127</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17.782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20.666</w:t>
            </w:r>
          </w:p>
        </w:tc>
      </w:tr>
      <w:tr w:rsidR="00F63D88" w:rsidRPr="00092BBF" w:rsidTr="00F879BB">
        <w:trPr>
          <w:jc w:val="center"/>
        </w:trPr>
        <w:tc>
          <w:tcPr>
            <w:tcW w:w="1772" w:type="dxa"/>
          </w:tcPr>
          <w:p w:rsidR="00F63D88" w:rsidRPr="00092BBF" w:rsidRDefault="00F879BB" w:rsidP="006347AD">
            <w:pPr>
              <w:pStyle w:val="Default"/>
              <w:contextualSpacing/>
              <w:jc w:val="both"/>
              <w:rPr>
                <w:color w:val="auto"/>
                <w:sz w:val="20"/>
                <w:szCs w:val="20"/>
              </w:rPr>
            </w:pPr>
            <w:r w:rsidRPr="00092BBF">
              <w:rPr>
                <w:color w:val="auto"/>
                <w:sz w:val="20"/>
                <w:szCs w:val="20"/>
              </w:rPr>
              <w:t xml:space="preserve">Branicevo </w:t>
            </w:r>
            <w:r w:rsidR="006347AD" w:rsidRPr="00092BBF">
              <w:rPr>
                <w:color w:val="auto"/>
                <w:sz w:val="20"/>
                <w:szCs w:val="20"/>
              </w:rPr>
              <w:t>D</w:t>
            </w:r>
            <w:r w:rsidRPr="00092BBF">
              <w:rPr>
                <w:color w:val="auto"/>
                <w:sz w:val="20"/>
                <w:szCs w:val="20"/>
              </w:rPr>
              <w:t>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65.673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70.840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86.159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106.524</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Bor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164.169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146.528</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136.252</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146.759</w:t>
            </w:r>
          </w:p>
        </w:tc>
      </w:tr>
      <w:tr w:rsidR="00F63D88" w:rsidRPr="00092BBF" w:rsidTr="00F879BB">
        <w:trPr>
          <w:jc w:val="center"/>
        </w:trPr>
        <w:tc>
          <w:tcPr>
            <w:tcW w:w="1772" w:type="dxa"/>
          </w:tcPr>
          <w:p w:rsidR="00F63D88" w:rsidRPr="00092BBF" w:rsidRDefault="006347AD" w:rsidP="006347AD">
            <w:pPr>
              <w:pStyle w:val="Default"/>
              <w:contextualSpacing/>
              <w:jc w:val="both"/>
              <w:rPr>
                <w:color w:val="auto"/>
                <w:sz w:val="20"/>
                <w:szCs w:val="20"/>
              </w:rPr>
            </w:pPr>
            <w:r w:rsidRPr="00092BBF">
              <w:rPr>
                <w:color w:val="auto"/>
                <w:sz w:val="20"/>
                <w:szCs w:val="20"/>
              </w:rPr>
              <w:t>Zajecar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431.066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426.906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319.554</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319.909</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Nis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290.984</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126.393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134.990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158.919</w:t>
            </w:r>
          </w:p>
        </w:tc>
      </w:tr>
      <w:tr w:rsidR="00F63D88" w:rsidRPr="00092BBF" w:rsidTr="00F879BB">
        <w:trPr>
          <w:jc w:val="center"/>
        </w:trPr>
        <w:tc>
          <w:tcPr>
            <w:tcW w:w="1772" w:type="dxa"/>
          </w:tcPr>
          <w:p w:rsidR="00F63D88" w:rsidRPr="00092BBF" w:rsidRDefault="006347AD" w:rsidP="006347AD">
            <w:pPr>
              <w:pStyle w:val="Default"/>
              <w:contextualSpacing/>
              <w:jc w:val="both"/>
              <w:rPr>
                <w:color w:val="auto"/>
                <w:sz w:val="20"/>
                <w:szCs w:val="20"/>
              </w:rPr>
            </w:pPr>
            <w:r w:rsidRPr="00092BBF">
              <w:rPr>
                <w:color w:val="auto"/>
                <w:sz w:val="20"/>
                <w:szCs w:val="20"/>
              </w:rPr>
              <w:t>Toplica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151.360</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133.303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135.179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157.013</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Pirot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26.367</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18.556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28.319</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24.393</w:t>
            </w:r>
          </w:p>
        </w:tc>
      </w:tr>
      <w:tr w:rsidR="00F63D88" w:rsidRPr="00092BBF" w:rsidTr="00F879BB">
        <w:trPr>
          <w:jc w:val="center"/>
        </w:trPr>
        <w:tc>
          <w:tcPr>
            <w:tcW w:w="1772" w:type="dxa"/>
          </w:tcPr>
          <w:p w:rsidR="00F63D88" w:rsidRPr="00092BBF" w:rsidRDefault="006347AD" w:rsidP="0086067E">
            <w:pPr>
              <w:pStyle w:val="Default"/>
              <w:contextualSpacing/>
              <w:jc w:val="both"/>
              <w:rPr>
                <w:color w:val="auto"/>
                <w:sz w:val="20"/>
                <w:szCs w:val="20"/>
              </w:rPr>
            </w:pPr>
            <w:r w:rsidRPr="00092BBF">
              <w:rPr>
                <w:color w:val="auto"/>
                <w:sz w:val="20"/>
                <w:szCs w:val="20"/>
              </w:rPr>
              <w:t>Jablanica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73.036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81.546</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72.910</w:t>
            </w:r>
          </w:p>
        </w:tc>
        <w:tc>
          <w:tcPr>
            <w:tcW w:w="1410" w:type="dxa"/>
          </w:tcPr>
          <w:p w:rsidR="00F63D88" w:rsidRPr="00092BBF" w:rsidRDefault="00F63D88" w:rsidP="0086067E">
            <w:pPr>
              <w:pStyle w:val="Default"/>
              <w:contextualSpacing/>
              <w:jc w:val="both"/>
              <w:rPr>
                <w:bCs/>
                <w:color w:val="auto"/>
                <w:sz w:val="20"/>
                <w:szCs w:val="20"/>
              </w:rPr>
            </w:pPr>
            <w:r w:rsidRPr="00092BBF">
              <w:rPr>
                <w:bCs/>
                <w:color w:val="auto"/>
                <w:sz w:val="20"/>
                <w:szCs w:val="20"/>
              </w:rPr>
              <w:t xml:space="preserve">  70.279</w:t>
            </w:r>
          </w:p>
        </w:tc>
      </w:tr>
      <w:tr w:rsidR="00F63D88" w:rsidRPr="00092BBF" w:rsidTr="00F879BB">
        <w:trPr>
          <w:jc w:val="center"/>
        </w:trPr>
        <w:tc>
          <w:tcPr>
            <w:tcW w:w="1772" w:type="dxa"/>
          </w:tcPr>
          <w:p w:rsidR="00F63D88" w:rsidRPr="00092BBF" w:rsidRDefault="006347AD" w:rsidP="006347AD">
            <w:pPr>
              <w:pStyle w:val="Default"/>
              <w:contextualSpacing/>
              <w:jc w:val="both"/>
              <w:rPr>
                <w:color w:val="auto"/>
                <w:sz w:val="20"/>
                <w:szCs w:val="20"/>
              </w:rPr>
            </w:pPr>
            <w:r w:rsidRPr="00092BBF">
              <w:rPr>
                <w:color w:val="auto"/>
                <w:sz w:val="20"/>
                <w:szCs w:val="20"/>
              </w:rPr>
              <w:t>Pcinja District</w:t>
            </w:r>
          </w:p>
        </w:tc>
        <w:tc>
          <w:tcPr>
            <w:tcW w:w="1409"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88.105</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80.978</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64.803</w:t>
            </w:r>
          </w:p>
        </w:tc>
        <w:tc>
          <w:tcPr>
            <w:tcW w:w="1410" w:type="dxa"/>
          </w:tcPr>
          <w:p w:rsidR="00F63D88" w:rsidRPr="00092BBF" w:rsidRDefault="00F63D88" w:rsidP="0086067E">
            <w:pPr>
              <w:pStyle w:val="Default"/>
              <w:contextualSpacing/>
              <w:jc w:val="both"/>
              <w:rPr>
                <w:color w:val="auto"/>
                <w:sz w:val="20"/>
                <w:szCs w:val="20"/>
              </w:rPr>
            </w:pPr>
            <w:r w:rsidRPr="00092BBF">
              <w:rPr>
                <w:bCs/>
                <w:color w:val="auto"/>
                <w:sz w:val="20"/>
                <w:szCs w:val="20"/>
              </w:rPr>
              <w:t xml:space="preserve">  62.536</w:t>
            </w:r>
          </w:p>
        </w:tc>
      </w:tr>
    </w:tbl>
    <w:p w:rsidR="00FF23A2" w:rsidRPr="00092BBF" w:rsidRDefault="00FF23A2" w:rsidP="001A72C1">
      <w:pPr>
        <w:pStyle w:val="Default"/>
        <w:contextualSpacing/>
        <w:jc w:val="center"/>
        <w:rPr>
          <w:color w:val="auto"/>
          <w:sz w:val="20"/>
          <w:szCs w:val="20"/>
        </w:rPr>
      </w:pPr>
    </w:p>
    <w:p w:rsidR="00746FCA" w:rsidRPr="00092BBF" w:rsidRDefault="00746FCA" w:rsidP="001A72C1">
      <w:pPr>
        <w:pStyle w:val="Default"/>
        <w:contextualSpacing/>
        <w:jc w:val="center"/>
        <w:rPr>
          <w:color w:val="auto"/>
          <w:sz w:val="20"/>
          <w:szCs w:val="20"/>
        </w:rPr>
      </w:pPr>
    </w:p>
    <w:p w:rsidR="00E537B3" w:rsidRPr="00092BBF" w:rsidRDefault="00E537B3" w:rsidP="001A72C1">
      <w:pPr>
        <w:pStyle w:val="Default"/>
        <w:contextualSpacing/>
        <w:jc w:val="center"/>
        <w:rPr>
          <w:color w:val="auto"/>
          <w:sz w:val="20"/>
          <w:szCs w:val="20"/>
        </w:rPr>
      </w:pPr>
      <w:r w:rsidRPr="00092BBF">
        <w:rPr>
          <w:noProof/>
          <w:color w:val="auto"/>
          <w:sz w:val="20"/>
          <w:szCs w:val="20"/>
        </w:rPr>
        <w:drawing>
          <wp:inline distT="0" distB="0" distL="0" distR="0">
            <wp:extent cx="5486400" cy="36957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37B3" w:rsidRPr="00092BBF" w:rsidRDefault="00E537B3" w:rsidP="001A72C1">
      <w:pPr>
        <w:pStyle w:val="Default"/>
        <w:contextualSpacing/>
        <w:jc w:val="center"/>
        <w:rPr>
          <w:color w:val="auto"/>
          <w:sz w:val="20"/>
          <w:szCs w:val="20"/>
        </w:rPr>
      </w:pPr>
    </w:p>
    <w:p w:rsidR="00E537B3" w:rsidRPr="00092BBF" w:rsidRDefault="007A5895" w:rsidP="00770D00">
      <w:pPr>
        <w:pStyle w:val="Default"/>
        <w:contextualSpacing/>
        <w:jc w:val="center"/>
        <w:rPr>
          <w:color w:val="auto"/>
          <w:sz w:val="20"/>
          <w:szCs w:val="20"/>
        </w:rPr>
      </w:pPr>
      <w:r w:rsidRPr="00092BBF">
        <w:rPr>
          <w:b/>
          <w:color w:val="auto"/>
          <w:sz w:val="20"/>
          <w:szCs w:val="20"/>
        </w:rPr>
        <w:t>Grafik 4:</w:t>
      </w:r>
      <w:r w:rsidR="00D62135" w:rsidRPr="00092BBF">
        <w:rPr>
          <w:color w:val="auto"/>
          <w:sz w:val="20"/>
          <w:szCs w:val="20"/>
        </w:rPr>
        <w:t>Tourists' nights in districts of</w:t>
      </w:r>
      <w:r w:rsidR="00E95AFC" w:rsidRPr="00092BBF">
        <w:rPr>
          <w:color w:val="auto"/>
          <w:sz w:val="20"/>
          <w:szCs w:val="20"/>
        </w:rPr>
        <w:t xml:space="preserve"> the region of </w:t>
      </w:r>
      <w:r w:rsidR="0086067E" w:rsidRPr="00092BBF">
        <w:rPr>
          <w:color w:val="auto"/>
          <w:sz w:val="20"/>
          <w:szCs w:val="20"/>
        </w:rPr>
        <w:t xml:space="preserve">Southern and Eastern Serbia </w:t>
      </w:r>
      <w:r w:rsidRPr="00092BBF">
        <w:rPr>
          <w:color w:val="auto"/>
          <w:sz w:val="20"/>
          <w:szCs w:val="20"/>
        </w:rPr>
        <w:t>(</w:t>
      </w:r>
      <w:r w:rsidR="0086067E" w:rsidRPr="00092BBF">
        <w:rPr>
          <w:color w:val="auto"/>
          <w:sz w:val="20"/>
          <w:szCs w:val="20"/>
        </w:rPr>
        <w:t>source: authors based on the data of Statistical Office of the Republic of Serbia</w:t>
      </w:r>
      <w:r w:rsidRPr="00092BBF">
        <w:rPr>
          <w:color w:val="auto"/>
          <w:sz w:val="20"/>
          <w:szCs w:val="20"/>
        </w:rPr>
        <w:t>)</w:t>
      </w:r>
    </w:p>
    <w:p w:rsidR="00AE7197" w:rsidRPr="00092BBF" w:rsidRDefault="00AE7197" w:rsidP="001A72C1">
      <w:pPr>
        <w:pStyle w:val="Default"/>
        <w:contextualSpacing/>
        <w:jc w:val="both"/>
        <w:rPr>
          <w:color w:val="auto"/>
          <w:sz w:val="20"/>
          <w:szCs w:val="20"/>
        </w:rPr>
      </w:pPr>
    </w:p>
    <w:p w:rsidR="007E4EB6" w:rsidRPr="00092BBF" w:rsidRDefault="00E95AFC" w:rsidP="001A72C1">
      <w:pPr>
        <w:pStyle w:val="Default"/>
        <w:contextualSpacing/>
        <w:jc w:val="both"/>
        <w:rPr>
          <w:color w:val="auto"/>
          <w:sz w:val="20"/>
          <w:szCs w:val="20"/>
        </w:rPr>
      </w:pPr>
      <w:r w:rsidRPr="00092BBF">
        <w:rPr>
          <w:color w:val="auto"/>
          <w:sz w:val="20"/>
          <w:szCs w:val="20"/>
        </w:rPr>
        <w:t>Graph 4 shows data about number of tourists' nights (domestic and foreign tourists) in individual districts of the region of Southern and Eastern Serbia. The data of the Statistical Office of the Republic of Serbia relate to the period from 2012 to 2015.</w:t>
      </w:r>
    </w:p>
    <w:p w:rsidR="00344D85" w:rsidRPr="00092BBF" w:rsidRDefault="003C6177" w:rsidP="001A72C1">
      <w:pPr>
        <w:pStyle w:val="Default"/>
        <w:contextualSpacing/>
        <w:jc w:val="both"/>
        <w:rPr>
          <w:color w:val="auto"/>
          <w:sz w:val="20"/>
          <w:szCs w:val="20"/>
        </w:rPr>
      </w:pPr>
      <w:r w:rsidRPr="00092BBF">
        <w:rPr>
          <w:color w:val="auto"/>
          <w:sz w:val="20"/>
          <w:szCs w:val="20"/>
        </w:rPr>
        <w:t xml:space="preserve">In the region of South and East Serbia, the following natural tourist values attract </w:t>
      </w:r>
      <w:r w:rsidR="00911BA3" w:rsidRPr="00092BBF">
        <w:rPr>
          <w:color w:val="auto"/>
          <w:sz w:val="20"/>
          <w:szCs w:val="20"/>
        </w:rPr>
        <w:t xml:space="preserve">tourists </w:t>
      </w:r>
      <w:bookmarkStart w:id="0" w:name="_GoBack"/>
      <w:bookmarkEnd w:id="0"/>
      <w:r w:rsidRPr="00092BBF">
        <w:rPr>
          <w:color w:val="auto"/>
          <w:sz w:val="20"/>
          <w:szCs w:val="20"/>
        </w:rPr>
        <w:t>the most: the mountains (Stara planina, Suva planina, Radan planina, Rtanj, Ozren)</w:t>
      </w:r>
      <w:r w:rsidR="00344D85" w:rsidRPr="00092BBF">
        <w:rPr>
          <w:color w:val="auto"/>
          <w:sz w:val="20"/>
          <w:szCs w:val="20"/>
        </w:rPr>
        <w:t xml:space="preserve">, </w:t>
      </w:r>
      <w:r w:rsidRPr="00092BBF">
        <w:rPr>
          <w:color w:val="auto"/>
          <w:sz w:val="20"/>
          <w:szCs w:val="20"/>
        </w:rPr>
        <w:t>gorge (Djerdapska, Sićevačka, Jelašnička), canyons (Temštica, Lazarev canyon, Rosomače canyon, Jerma river canyon), caves (Resavska, Rajkova, Ceremosnja, Ravništarka), Đavolja varoš (geomorphological tourist value that attracts special attention of tourists), spa</w:t>
      </w:r>
      <w:r w:rsidR="003B1214" w:rsidRPr="00092BBF">
        <w:rPr>
          <w:color w:val="auto"/>
          <w:sz w:val="20"/>
          <w:szCs w:val="20"/>
        </w:rPr>
        <w:t>s</w:t>
      </w:r>
      <w:r w:rsidRPr="00092BBF">
        <w:rPr>
          <w:color w:val="auto"/>
          <w:sz w:val="20"/>
          <w:szCs w:val="20"/>
        </w:rPr>
        <w:t xml:space="preserve"> (Sokobanja, Prolom Banja, Lukovska Banja, Niška Banja, Vranjska Banja)</w:t>
      </w:r>
      <w:r w:rsidR="003B1214" w:rsidRPr="00092BBF">
        <w:rPr>
          <w:color w:val="auto"/>
          <w:sz w:val="20"/>
          <w:szCs w:val="20"/>
        </w:rPr>
        <w:t>the Danube River, lakes (Lake Djerdap, Vlasinsko Lake, Silver Lake and numerous waterfalls (primarily on Stara Planina).</w:t>
      </w:r>
      <w:r w:rsidR="00104469" w:rsidRPr="00092BBF">
        <w:rPr>
          <w:color w:val="auto"/>
          <w:sz w:val="20"/>
          <w:szCs w:val="20"/>
        </w:rPr>
        <w:t xml:space="preserve">From anthropogenic tourist values, a great number of cultural monuments (churches, monasteries, museums, fortresses), archaeological sites, famous places and spatial cultural and historical units can be found. </w:t>
      </w:r>
      <w:r w:rsidR="009654E1" w:rsidRPr="00092BBF">
        <w:rPr>
          <w:color w:val="auto"/>
          <w:sz w:val="20"/>
          <w:szCs w:val="20"/>
        </w:rPr>
        <w:t>Monasteries Manasija, Ravanica, Prohor Pčinjski, fortresses Golubac, Smederevo and Nis Fortress, archaeological sites of Felix Romuliana, Mediana and Caricin Grad attract great attention.</w:t>
      </w:r>
      <w:r w:rsidR="00D85072" w:rsidRPr="00092BBF">
        <w:rPr>
          <w:color w:val="auto"/>
          <w:sz w:val="20"/>
          <w:szCs w:val="20"/>
        </w:rPr>
        <w:t xml:space="preserve"> </w:t>
      </w:r>
    </w:p>
    <w:p w:rsidR="00664FCB" w:rsidRPr="00092BBF" w:rsidRDefault="00FE14FF" w:rsidP="001A72C1">
      <w:pPr>
        <w:pStyle w:val="Default"/>
        <w:contextualSpacing/>
        <w:jc w:val="both"/>
        <w:rPr>
          <w:color w:val="auto"/>
          <w:sz w:val="20"/>
          <w:szCs w:val="20"/>
        </w:rPr>
      </w:pPr>
      <w:r w:rsidRPr="00092BBF">
        <w:rPr>
          <w:color w:val="auto"/>
          <w:sz w:val="20"/>
          <w:szCs w:val="20"/>
        </w:rPr>
        <w:t>Table 7 show</w:t>
      </w:r>
      <w:r w:rsidR="002B4BA7" w:rsidRPr="00092BBF">
        <w:rPr>
          <w:color w:val="auto"/>
          <w:sz w:val="20"/>
          <w:szCs w:val="20"/>
        </w:rPr>
        <w:t>s an overview of the municipalities within the individual districts of the South and East Serbia region with the highest number of tourist</w:t>
      </w:r>
      <w:r w:rsidR="001C0B3E" w:rsidRPr="00092BBF">
        <w:rPr>
          <w:color w:val="auto"/>
          <w:sz w:val="20"/>
          <w:szCs w:val="20"/>
        </w:rPr>
        <w:t>s’</w:t>
      </w:r>
      <w:r w:rsidR="002B4BA7" w:rsidRPr="00092BBF">
        <w:rPr>
          <w:color w:val="auto"/>
          <w:sz w:val="20"/>
          <w:szCs w:val="20"/>
        </w:rPr>
        <w:t xml:space="preserve"> arrivals (domestic and foreign) in the years 2013., 2014. and 2015.</w:t>
      </w:r>
    </w:p>
    <w:p w:rsidR="002B4BA7" w:rsidRPr="00092BBF" w:rsidRDefault="002B4BA7" w:rsidP="000F2D28">
      <w:pPr>
        <w:spacing w:after="0" w:line="240" w:lineRule="auto"/>
        <w:jc w:val="center"/>
        <w:rPr>
          <w:rFonts w:ascii="Times New Roman" w:hAnsi="Times New Roman" w:cs="Times New Roman"/>
          <w:color w:val="FF0000"/>
          <w:sz w:val="20"/>
          <w:szCs w:val="20"/>
        </w:rPr>
      </w:pPr>
    </w:p>
    <w:p w:rsidR="002B4BA7" w:rsidRPr="00092BBF" w:rsidRDefault="002B4BA7" w:rsidP="000F2D28">
      <w:pPr>
        <w:spacing w:after="0" w:line="240" w:lineRule="auto"/>
        <w:jc w:val="center"/>
        <w:rPr>
          <w:rFonts w:ascii="Times New Roman" w:hAnsi="Times New Roman" w:cs="Times New Roman"/>
          <w:sz w:val="20"/>
          <w:szCs w:val="20"/>
        </w:rPr>
      </w:pPr>
      <w:r w:rsidRPr="00092BBF">
        <w:rPr>
          <w:rFonts w:ascii="Times New Roman" w:hAnsi="Times New Roman" w:cs="Times New Roman"/>
          <w:sz w:val="20"/>
          <w:szCs w:val="20"/>
        </w:rPr>
        <w:t>Table 7: Municipalities with the highest number of tourist</w:t>
      </w:r>
      <w:r w:rsidR="001C0B3E" w:rsidRPr="00092BBF">
        <w:rPr>
          <w:rFonts w:ascii="Times New Roman" w:hAnsi="Times New Roman" w:cs="Times New Roman"/>
          <w:sz w:val="20"/>
          <w:szCs w:val="20"/>
        </w:rPr>
        <w:t>s’</w:t>
      </w:r>
      <w:r w:rsidRPr="00092BBF">
        <w:rPr>
          <w:rFonts w:ascii="Times New Roman" w:hAnsi="Times New Roman" w:cs="Times New Roman"/>
          <w:sz w:val="20"/>
          <w:szCs w:val="20"/>
        </w:rPr>
        <w:t xml:space="preserve"> arrivals (domestic and foreign) by individual districts in the years 2013., 2014. and 2015. (source: Municipalities and Regions in the Republic of Serbia, issues 2014., 2015., 2016.)</w:t>
      </w:r>
    </w:p>
    <w:tbl>
      <w:tblPr>
        <w:tblStyle w:val="TableGrid"/>
        <w:tblW w:w="0" w:type="auto"/>
        <w:jc w:val="center"/>
        <w:tblLook w:val="04A0"/>
      </w:tblPr>
      <w:tblGrid>
        <w:gridCol w:w="1735"/>
        <w:gridCol w:w="1250"/>
        <w:gridCol w:w="1048"/>
        <w:gridCol w:w="1250"/>
        <w:gridCol w:w="1134"/>
        <w:gridCol w:w="1276"/>
        <w:gridCol w:w="1134"/>
      </w:tblGrid>
      <w:tr w:rsidR="006D1CC3" w:rsidRPr="00092BBF" w:rsidTr="006D1CC3">
        <w:trPr>
          <w:trHeight w:val="450"/>
          <w:jc w:val="center"/>
        </w:trPr>
        <w:tc>
          <w:tcPr>
            <w:tcW w:w="1735" w:type="dxa"/>
            <w:vMerge w:val="restart"/>
            <w:vAlign w:val="center"/>
          </w:tcPr>
          <w:p w:rsidR="006D1CC3" w:rsidRPr="00092BBF" w:rsidRDefault="006D1CC3" w:rsidP="000F2D28">
            <w:pPr>
              <w:pStyle w:val="Default"/>
              <w:contextualSpacing/>
              <w:jc w:val="both"/>
              <w:rPr>
                <w:color w:val="auto"/>
                <w:sz w:val="20"/>
                <w:szCs w:val="20"/>
              </w:rPr>
            </w:pPr>
            <w:r w:rsidRPr="00092BBF">
              <w:rPr>
                <w:color w:val="auto"/>
                <w:sz w:val="20"/>
                <w:szCs w:val="20"/>
              </w:rPr>
              <w:t>Districts</w:t>
            </w:r>
          </w:p>
        </w:tc>
        <w:tc>
          <w:tcPr>
            <w:tcW w:w="2298" w:type="dxa"/>
            <w:gridSpan w:val="2"/>
            <w:vAlign w:val="center"/>
          </w:tcPr>
          <w:p w:rsidR="006D1CC3" w:rsidRPr="00092BBF" w:rsidRDefault="006D1CC3" w:rsidP="000F2D28">
            <w:pPr>
              <w:pStyle w:val="Default"/>
              <w:contextualSpacing/>
              <w:jc w:val="both"/>
              <w:rPr>
                <w:color w:val="auto"/>
                <w:sz w:val="20"/>
                <w:szCs w:val="20"/>
              </w:rPr>
            </w:pPr>
            <w:r w:rsidRPr="00092BBF">
              <w:rPr>
                <w:color w:val="auto"/>
                <w:sz w:val="20"/>
                <w:szCs w:val="20"/>
              </w:rPr>
              <w:t>2013.</w:t>
            </w:r>
          </w:p>
        </w:tc>
        <w:tc>
          <w:tcPr>
            <w:tcW w:w="2384" w:type="dxa"/>
            <w:gridSpan w:val="2"/>
            <w:vAlign w:val="center"/>
          </w:tcPr>
          <w:p w:rsidR="006D1CC3" w:rsidRPr="00092BBF" w:rsidRDefault="006D1CC3" w:rsidP="000F2D28">
            <w:pPr>
              <w:pStyle w:val="Default"/>
              <w:contextualSpacing/>
              <w:jc w:val="both"/>
              <w:rPr>
                <w:color w:val="auto"/>
                <w:sz w:val="20"/>
                <w:szCs w:val="20"/>
              </w:rPr>
            </w:pPr>
            <w:r w:rsidRPr="00092BBF">
              <w:rPr>
                <w:color w:val="auto"/>
                <w:sz w:val="20"/>
                <w:szCs w:val="20"/>
              </w:rPr>
              <w:t>2014.</w:t>
            </w:r>
          </w:p>
        </w:tc>
        <w:tc>
          <w:tcPr>
            <w:tcW w:w="2410" w:type="dxa"/>
            <w:gridSpan w:val="2"/>
            <w:vAlign w:val="center"/>
          </w:tcPr>
          <w:p w:rsidR="006D1CC3" w:rsidRPr="00092BBF" w:rsidRDefault="006D1CC3" w:rsidP="000F2D28">
            <w:pPr>
              <w:pStyle w:val="Default"/>
              <w:contextualSpacing/>
              <w:jc w:val="both"/>
              <w:rPr>
                <w:color w:val="auto"/>
                <w:sz w:val="20"/>
                <w:szCs w:val="20"/>
              </w:rPr>
            </w:pPr>
            <w:r w:rsidRPr="00092BBF">
              <w:rPr>
                <w:color w:val="auto"/>
                <w:sz w:val="20"/>
                <w:szCs w:val="20"/>
              </w:rPr>
              <w:t>2015.</w:t>
            </w:r>
          </w:p>
        </w:tc>
      </w:tr>
      <w:tr w:rsidR="006D1CC3" w:rsidRPr="00092BBF" w:rsidTr="006D1CC3">
        <w:trPr>
          <w:trHeight w:val="450"/>
          <w:jc w:val="center"/>
        </w:trPr>
        <w:tc>
          <w:tcPr>
            <w:tcW w:w="1735" w:type="dxa"/>
            <w:vMerge/>
            <w:vAlign w:val="center"/>
          </w:tcPr>
          <w:p w:rsidR="006D1CC3" w:rsidRPr="00092BBF" w:rsidRDefault="006D1CC3" w:rsidP="000F2D28">
            <w:pPr>
              <w:pStyle w:val="Default"/>
              <w:contextualSpacing/>
              <w:jc w:val="both"/>
              <w:rPr>
                <w:color w:val="auto"/>
                <w:sz w:val="20"/>
                <w:szCs w:val="20"/>
              </w:rPr>
            </w:pPr>
          </w:p>
        </w:tc>
        <w:tc>
          <w:tcPr>
            <w:tcW w:w="1250" w:type="dxa"/>
            <w:vAlign w:val="center"/>
          </w:tcPr>
          <w:p w:rsidR="006D1CC3" w:rsidRPr="00092BBF" w:rsidRDefault="006D1CC3" w:rsidP="00167FB3">
            <w:pPr>
              <w:pStyle w:val="Default"/>
              <w:contextualSpacing/>
              <w:rPr>
                <w:color w:val="auto"/>
                <w:sz w:val="20"/>
                <w:szCs w:val="20"/>
              </w:rPr>
            </w:pPr>
            <w:r w:rsidRPr="00092BBF">
              <w:rPr>
                <w:color w:val="auto"/>
                <w:sz w:val="20"/>
                <w:szCs w:val="20"/>
              </w:rPr>
              <w:t>Municipality</w:t>
            </w:r>
          </w:p>
        </w:tc>
        <w:tc>
          <w:tcPr>
            <w:tcW w:w="1048" w:type="dxa"/>
            <w:vAlign w:val="center"/>
          </w:tcPr>
          <w:p w:rsidR="006D1CC3" w:rsidRPr="00092BBF" w:rsidRDefault="006D1CC3" w:rsidP="006A527E">
            <w:pPr>
              <w:pStyle w:val="Default"/>
              <w:contextualSpacing/>
              <w:rPr>
                <w:color w:val="auto"/>
                <w:sz w:val="20"/>
                <w:szCs w:val="20"/>
              </w:rPr>
            </w:pPr>
            <w:r w:rsidRPr="00092BBF">
              <w:rPr>
                <w:color w:val="auto"/>
                <w:sz w:val="20"/>
                <w:szCs w:val="20"/>
              </w:rPr>
              <w:t>Arrivals</w:t>
            </w:r>
          </w:p>
        </w:tc>
        <w:tc>
          <w:tcPr>
            <w:tcW w:w="1250" w:type="dxa"/>
            <w:vAlign w:val="center"/>
          </w:tcPr>
          <w:p w:rsidR="006D1CC3" w:rsidRPr="00092BBF" w:rsidRDefault="006D1CC3" w:rsidP="002B4BA7">
            <w:pPr>
              <w:pStyle w:val="Default"/>
              <w:contextualSpacing/>
              <w:rPr>
                <w:color w:val="auto"/>
                <w:sz w:val="20"/>
                <w:szCs w:val="20"/>
              </w:rPr>
            </w:pPr>
            <w:r w:rsidRPr="00092BBF">
              <w:rPr>
                <w:color w:val="auto"/>
                <w:sz w:val="20"/>
                <w:szCs w:val="20"/>
              </w:rPr>
              <w:t>Municipality</w:t>
            </w:r>
          </w:p>
        </w:tc>
        <w:tc>
          <w:tcPr>
            <w:tcW w:w="1134" w:type="dxa"/>
            <w:vAlign w:val="center"/>
          </w:tcPr>
          <w:p w:rsidR="006D1CC3" w:rsidRPr="00092BBF" w:rsidRDefault="006D1CC3" w:rsidP="006A527E">
            <w:pPr>
              <w:pStyle w:val="Default"/>
              <w:contextualSpacing/>
              <w:rPr>
                <w:color w:val="auto"/>
                <w:sz w:val="20"/>
                <w:szCs w:val="20"/>
              </w:rPr>
            </w:pPr>
            <w:r w:rsidRPr="00092BBF">
              <w:rPr>
                <w:color w:val="auto"/>
                <w:sz w:val="20"/>
                <w:szCs w:val="20"/>
              </w:rPr>
              <w:t>Arrivals</w:t>
            </w:r>
          </w:p>
        </w:tc>
        <w:tc>
          <w:tcPr>
            <w:tcW w:w="1276" w:type="dxa"/>
            <w:vAlign w:val="center"/>
          </w:tcPr>
          <w:p w:rsidR="006D1CC3" w:rsidRPr="00092BBF" w:rsidRDefault="006D1CC3" w:rsidP="006A527E">
            <w:pPr>
              <w:pStyle w:val="Default"/>
              <w:contextualSpacing/>
              <w:rPr>
                <w:color w:val="auto"/>
                <w:sz w:val="20"/>
                <w:szCs w:val="20"/>
              </w:rPr>
            </w:pPr>
            <w:r w:rsidRPr="00092BBF">
              <w:rPr>
                <w:color w:val="auto"/>
                <w:sz w:val="20"/>
                <w:szCs w:val="20"/>
              </w:rPr>
              <w:t>Municipality</w:t>
            </w:r>
          </w:p>
        </w:tc>
        <w:tc>
          <w:tcPr>
            <w:tcW w:w="1134" w:type="dxa"/>
            <w:vAlign w:val="center"/>
          </w:tcPr>
          <w:p w:rsidR="006D1CC3" w:rsidRPr="00092BBF" w:rsidRDefault="006D1CC3" w:rsidP="006A527E">
            <w:pPr>
              <w:pStyle w:val="Default"/>
              <w:contextualSpacing/>
              <w:rPr>
                <w:color w:val="auto"/>
                <w:sz w:val="20"/>
                <w:szCs w:val="20"/>
              </w:rPr>
            </w:pPr>
            <w:r w:rsidRPr="00092BBF">
              <w:rPr>
                <w:color w:val="auto"/>
                <w:sz w:val="20"/>
                <w:szCs w:val="20"/>
              </w:rPr>
              <w:t>Arrivals</w:t>
            </w:r>
          </w:p>
        </w:tc>
      </w:tr>
      <w:tr w:rsidR="00167FB3" w:rsidRPr="00092BBF" w:rsidTr="00AE5DAB">
        <w:trPr>
          <w:trHeight w:val="329"/>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Danube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15.101</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 xml:space="preserve">  9.646</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 xml:space="preserve">  8.237</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Branicevo District</w:t>
            </w:r>
          </w:p>
        </w:tc>
        <w:tc>
          <w:tcPr>
            <w:tcW w:w="1250" w:type="dxa"/>
            <w:vAlign w:val="center"/>
          </w:tcPr>
          <w:p w:rsidR="00167FB3" w:rsidRPr="00092BBF" w:rsidRDefault="001C0B3E" w:rsidP="00430D9D">
            <w:pPr>
              <w:pStyle w:val="Default"/>
              <w:contextualSpacing/>
              <w:rPr>
                <w:color w:val="auto"/>
                <w:sz w:val="20"/>
                <w:szCs w:val="20"/>
              </w:rPr>
            </w:pPr>
            <w:r w:rsidRPr="00092BBF">
              <w:rPr>
                <w:color w:val="auto"/>
                <w:sz w:val="20"/>
                <w:szCs w:val="20"/>
              </w:rPr>
              <w:t>Veliko Gradis</w:t>
            </w:r>
            <w:r w:rsidR="00167FB3" w:rsidRPr="00092BBF">
              <w:rPr>
                <w:color w:val="auto"/>
                <w:sz w:val="20"/>
                <w:szCs w:val="20"/>
              </w:rPr>
              <w:t>te</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13.322</w:t>
            </w:r>
          </w:p>
        </w:tc>
        <w:tc>
          <w:tcPr>
            <w:tcW w:w="1250" w:type="dxa"/>
            <w:vAlign w:val="center"/>
          </w:tcPr>
          <w:p w:rsidR="00167FB3" w:rsidRPr="00092BBF" w:rsidRDefault="001C0B3E" w:rsidP="00430D9D">
            <w:pPr>
              <w:pStyle w:val="Default"/>
              <w:contextualSpacing/>
              <w:rPr>
                <w:color w:val="auto"/>
                <w:sz w:val="20"/>
                <w:szCs w:val="20"/>
              </w:rPr>
            </w:pPr>
            <w:r w:rsidRPr="00092BBF">
              <w:rPr>
                <w:color w:val="auto"/>
                <w:sz w:val="20"/>
                <w:szCs w:val="20"/>
              </w:rPr>
              <w:t>Veliko Gradis</w:t>
            </w:r>
            <w:r w:rsidR="00167FB3" w:rsidRPr="00092BBF">
              <w:rPr>
                <w:color w:val="auto"/>
                <w:sz w:val="20"/>
                <w:szCs w:val="20"/>
              </w:rPr>
              <w:t>te</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13.768</w:t>
            </w:r>
          </w:p>
        </w:tc>
        <w:tc>
          <w:tcPr>
            <w:tcW w:w="1276" w:type="dxa"/>
            <w:vAlign w:val="center"/>
          </w:tcPr>
          <w:p w:rsidR="00167FB3" w:rsidRPr="00092BBF" w:rsidRDefault="001C0B3E" w:rsidP="00430D9D">
            <w:pPr>
              <w:pStyle w:val="Default"/>
              <w:contextualSpacing/>
              <w:rPr>
                <w:color w:val="auto"/>
                <w:sz w:val="20"/>
                <w:szCs w:val="20"/>
              </w:rPr>
            </w:pPr>
            <w:r w:rsidRPr="00092BBF">
              <w:rPr>
                <w:color w:val="auto"/>
                <w:sz w:val="20"/>
                <w:szCs w:val="20"/>
              </w:rPr>
              <w:t>Veliko Gradis</w:t>
            </w:r>
            <w:r w:rsidR="00167FB3" w:rsidRPr="00092BBF">
              <w:rPr>
                <w:color w:val="auto"/>
                <w:sz w:val="20"/>
                <w:szCs w:val="20"/>
              </w:rPr>
              <w:t>te</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14.234</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Bor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Majdanpek</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25.562</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Majdanpek</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22.523</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Kladovo</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22.347</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Zajecar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Sokobanja</w:t>
            </w:r>
          </w:p>
        </w:tc>
        <w:tc>
          <w:tcPr>
            <w:tcW w:w="1048" w:type="dxa"/>
          </w:tcPr>
          <w:p w:rsidR="00167FB3" w:rsidRPr="00092BBF" w:rsidRDefault="00167FB3" w:rsidP="00430D9D">
            <w:pPr>
              <w:contextualSpacing/>
              <w:jc w:val="center"/>
              <w:rPr>
                <w:sz w:val="20"/>
                <w:szCs w:val="20"/>
              </w:rPr>
            </w:pPr>
            <w:r w:rsidRPr="00092BBF">
              <w:rPr>
                <w:rFonts w:ascii="Times New Roman" w:hAnsi="Times New Roman" w:cs="Times New Roman"/>
                <w:sz w:val="20"/>
                <w:szCs w:val="20"/>
              </w:rPr>
              <w:t>50.629</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Sokobanja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42.438</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Sokobanja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41.676</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Nis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Medijana (Niš)</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29.752</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Medijana (Niš)</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33.163</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Medijana (Niš)</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40.724</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Toplica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Kuršumlija</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24.208</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Kuršumlija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22.990</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Kuršumlija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27.170</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Pirot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Pirot</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 xml:space="preserve">  8.150</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Pirot</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 xml:space="preserve">  9.788</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Pirot</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10.005</w:t>
            </w:r>
          </w:p>
        </w:tc>
      </w:tr>
      <w:tr w:rsidR="00167FB3" w:rsidRPr="00092BBF" w:rsidTr="006D1CC3">
        <w:trPr>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Jablanica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Leskovac</w:t>
            </w:r>
          </w:p>
        </w:tc>
        <w:tc>
          <w:tcPr>
            <w:tcW w:w="1048" w:type="dxa"/>
          </w:tcPr>
          <w:p w:rsidR="00167FB3" w:rsidRPr="00092BBF" w:rsidRDefault="00167FB3" w:rsidP="00167FB3">
            <w:pPr>
              <w:pStyle w:val="Default"/>
              <w:contextualSpacing/>
              <w:jc w:val="center"/>
              <w:rPr>
                <w:color w:val="auto"/>
                <w:sz w:val="20"/>
                <w:szCs w:val="20"/>
              </w:rPr>
            </w:pPr>
            <w:r w:rsidRPr="00092BBF">
              <w:rPr>
                <w:color w:val="auto"/>
                <w:sz w:val="20"/>
                <w:szCs w:val="20"/>
              </w:rPr>
              <w:t>16.603</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Leskovac</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15.811</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Leskovac</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14.000</w:t>
            </w:r>
          </w:p>
        </w:tc>
      </w:tr>
      <w:tr w:rsidR="00167FB3" w:rsidRPr="00092BBF" w:rsidTr="00430D9D">
        <w:trPr>
          <w:trHeight w:val="220"/>
          <w:jc w:val="center"/>
        </w:trPr>
        <w:tc>
          <w:tcPr>
            <w:tcW w:w="1735" w:type="dxa"/>
          </w:tcPr>
          <w:p w:rsidR="00167FB3" w:rsidRPr="00092BBF" w:rsidRDefault="00167FB3" w:rsidP="000F2D28">
            <w:pPr>
              <w:pStyle w:val="Default"/>
              <w:contextualSpacing/>
              <w:jc w:val="both"/>
              <w:rPr>
                <w:color w:val="auto"/>
                <w:sz w:val="20"/>
                <w:szCs w:val="20"/>
              </w:rPr>
            </w:pPr>
            <w:r w:rsidRPr="00092BBF">
              <w:rPr>
                <w:color w:val="auto"/>
                <w:sz w:val="20"/>
                <w:szCs w:val="20"/>
              </w:rPr>
              <w:t>Pcinja District</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Vranje</w:t>
            </w:r>
          </w:p>
        </w:tc>
        <w:tc>
          <w:tcPr>
            <w:tcW w:w="1048" w:type="dxa"/>
          </w:tcPr>
          <w:p w:rsidR="00167FB3" w:rsidRPr="00092BBF" w:rsidRDefault="00167FB3" w:rsidP="00430D9D">
            <w:pPr>
              <w:contextualSpacing/>
              <w:jc w:val="center"/>
              <w:rPr>
                <w:sz w:val="20"/>
                <w:szCs w:val="20"/>
              </w:rPr>
            </w:pPr>
            <w:r w:rsidRPr="00092BBF">
              <w:rPr>
                <w:rFonts w:ascii="Times New Roman" w:hAnsi="Times New Roman" w:cs="Times New Roman"/>
                <w:sz w:val="20"/>
                <w:szCs w:val="20"/>
              </w:rPr>
              <w:t xml:space="preserve">  7.158</w:t>
            </w:r>
          </w:p>
        </w:tc>
        <w:tc>
          <w:tcPr>
            <w:tcW w:w="1250" w:type="dxa"/>
            <w:vAlign w:val="center"/>
          </w:tcPr>
          <w:p w:rsidR="00167FB3" w:rsidRPr="00092BBF" w:rsidRDefault="00167FB3" w:rsidP="00430D9D">
            <w:pPr>
              <w:pStyle w:val="Default"/>
              <w:contextualSpacing/>
              <w:rPr>
                <w:color w:val="auto"/>
                <w:sz w:val="20"/>
                <w:szCs w:val="20"/>
              </w:rPr>
            </w:pPr>
            <w:r w:rsidRPr="00092BBF">
              <w:rPr>
                <w:color w:val="auto"/>
                <w:sz w:val="20"/>
                <w:szCs w:val="20"/>
              </w:rPr>
              <w:t>Vranje</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 xml:space="preserve">  7.766</w:t>
            </w:r>
          </w:p>
        </w:tc>
        <w:tc>
          <w:tcPr>
            <w:tcW w:w="1276" w:type="dxa"/>
            <w:vAlign w:val="center"/>
          </w:tcPr>
          <w:p w:rsidR="00167FB3" w:rsidRPr="00092BBF" w:rsidRDefault="00167FB3" w:rsidP="00430D9D">
            <w:pPr>
              <w:pStyle w:val="Default"/>
              <w:contextualSpacing/>
              <w:rPr>
                <w:color w:val="auto"/>
                <w:sz w:val="20"/>
                <w:szCs w:val="20"/>
              </w:rPr>
            </w:pPr>
            <w:r w:rsidRPr="00092BBF">
              <w:rPr>
                <w:color w:val="auto"/>
                <w:sz w:val="20"/>
                <w:szCs w:val="20"/>
              </w:rPr>
              <w:t>Surdulica</w:t>
            </w:r>
          </w:p>
        </w:tc>
        <w:tc>
          <w:tcPr>
            <w:tcW w:w="1134" w:type="dxa"/>
          </w:tcPr>
          <w:p w:rsidR="00167FB3" w:rsidRPr="00092BBF" w:rsidRDefault="00167FB3" w:rsidP="00167FB3">
            <w:pPr>
              <w:pStyle w:val="Default"/>
              <w:contextualSpacing/>
              <w:rPr>
                <w:color w:val="auto"/>
                <w:sz w:val="20"/>
                <w:szCs w:val="20"/>
              </w:rPr>
            </w:pPr>
            <w:r w:rsidRPr="00092BBF">
              <w:rPr>
                <w:color w:val="auto"/>
                <w:sz w:val="20"/>
                <w:szCs w:val="20"/>
              </w:rPr>
              <w:t xml:space="preserve">  4.611</w:t>
            </w:r>
          </w:p>
        </w:tc>
      </w:tr>
    </w:tbl>
    <w:p w:rsidR="000F2D28" w:rsidRPr="00092BBF" w:rsidRDefault="000F2D28" w:rsidP="001A72C1">
      <w:pPr>
        <w:pStyle w:val="Default"/>
        <w:contextualSpacing/>
        <w:jc w:val="both"/>
        <w:rPr>
          <w:color w:val="auto"/>
          <w:sz w:val="20"/>
          <w:szCs w:val="20"/>
        </w:rPr>
      </w:pPr>
    </w:p>
    <w:p w:rsidR="000F2D28" w:rsidRPr="00092BBF" w:rsidRDefault="00FE14FF" w:rsidP="001A72C1">
      <w:pPr>
        <w:pStyle w:val="Default"/>
        <w:contextualSpacing/>
        <w:jc w:val="both"/>
        <w:rPr>
          <w:color w:val="auto"/>
          <w:sz w:val="20"/>
          <w:szCs w:val="20"/>
        </w:rPr>
      </w:pPr>
      <w:r w:rsidRPr="00092BBF">
        <w:rPr>
          <w:color w:val="auto"/>
          <w:sz w:val="20"/>
          <w:szCs w:val="20"/>
        </w:rPr>
        <w:t>Table 8 shows the representation of municipalities within the individual districts of the South and East Serbia region with the highest number of tourist</w:t>
      </w:r>
      <w:r w:rsidR="001C0B3E" w:rsidRPr="00092BBF">
        <w:rPr>
          <w:color w:val="auto"/>
          <w:sz w:val="20"/>
          <w:szCs w:val="20"/>
        </w:rPr>
        <w:t>s’</w:t>
      </w:r>
      <w:r w:rsidRPr="00092BBF">
        <w:rPr>
          <w:color w:val="auto"/>
          <w:sz w:val="20"/>
          <w:szCs w:val="20"/>
        </w:rPr>
        <w:t xml:space="preserve"> overnight stays (domestic and foreign) in  years 2013., 2014. and 2015.</w:t>
      </w:r>
    </w:p>
    <w:p w:rsidR="00FE14FF" w:rsidRPr="00092BBF" w:rsidRDefault="00FE14FF" w:rsidP="001A72C1">
      <w:pPr>
        <w:pStyle w:val="Default"/>
        <w:contextualSpacing/>
        <w:jc w:val="both"/>
        <w:rPr>
          <w:color w:val="FF0000"/>
          <w:sz w:val="20"/>
          <w:szCs w:val="20"/>
        </w:rPr>
      </w:pPr>
    </w:p>
    <w:p w:rsidR="00FE14FF" w:rsidRPr="00092BBF" w:rsidRDefault="00FE14FF" w:rsidP="00FE14FF">
      <w:pPr>
        <w:pStyle w:val="Default"/>
        <w:contextualSpacing/>
        <w:jc w:val="center"/>
        <w:rPr>
          <w:color w:val="auto"/>
          <w:sz w:val="20"/>
          <w:szCs w:val="20"/>
        </w:rPr>
      </w:pPr>
      <w:r w:rsidRPr="00092BBF">
        <w:rPr>
          <w:color w:val="auto"/>
          <w:sz w:val="20"/>
          <w:szCs w:val="20"/>
        </w:rPr>
        <w:t>Table 8: Municipalities with the highest number of tourist</w:t>
      </w:r>
      <w:r w:rsidR="001C0B3E" w:rsidRPr="00092BBF">
        <w:rPr>
          <w:color w:val="auto"/>
          <w:sz w:val="20"/>
          <w:szCs w:val="20"/>
        </w:rPr>
        <w:t>s’</w:t>
      </w:r>
      <w:r w:rsidRPr="00092BBF">
        <w:rPr>
          <w:color w:val="auto"/>
          <w:sz w:val="20"/>
          <w:szCs w:val="20"/>
        </w:rPr>
        <w:t xml:space="preserve"> overnight stays (domestic and foreign) by individual districts (source: Municipalities and Regions in the Republic of Serbia, issues 2014., 2015., 2016.)</w:t>
      </w:r>
    </w:p>
    <w:tbl>
      <w:tblPr>
        <w:tblStyle w:val="TableGrid"/>
        <w:tblW w:w="0" w:type="auto"/>
        <w:jc w:val="center"/>
        <w:tblLook w:val="04A0"/>
      </w:tblPr>
      <w:tblGrid>
        <w:gridCol w:w="1644"/>
        <w:gridCol w:w="1250"/>
        <w:gridCol w:w="1047"/>
        <w:gridCol w:w="1250"/>
        <w:gridCol w:w="1134"/>
        <w:gridCol w:w="1276"/>
        <w:gridCol w:w="1134"/>
      </w:tblGrid>
      <w:tr w:rsidR="00AE5DAB" w:rsidRPr="00092BBF" w:rsidTr="00AE5DAB">
        <w:trPr>
          <w:trHeight w:val="450"/>
          <w:jc w:val="center"/>
        </w:trPr>
        <w:tc>
          <w:tcPr>
            <w:tcW w:w="1644" w:type="dxa"/>
            <w:vMerge w:val="restart"/>
            <w:vAlign w:val="center"/>
          </w:tcPr>
          <w:p w:rsidR="00AE5DAB" w:rsidRPr="00092BBF" w:rsidRDefault="00AE5DAB" w:rsidP="00AE5DAB">
            <w:pPr>
              <w:pStyle w:val="Default"/>
              <w:contextualSpacing/>
              <w:rPr>
                <w:color w:val="auto"/>
                <w:sz w:val="20"/>
                <w:szCs w:val="20"/>
              </w:rPr>
            </w:pPr>
            <w:r w:rsidRPr="00092BBF">
              <w:rPr>
                <w:color w:val="auto"/>
                <w:sz w:val="20"/>
                <w:szCs w:val="20"/>
              </w:rPr>
              <w:t>Districts</w:t>
            </w:r>
          </w:p>
        </w:tc>
        <w:tc>
          <w:tcPr>
            <w:tcW w:w="1250" w:type="dxa"/>
            <w:vAlign w:val="center"/>
          </w:tcPr>
          <w:p w:rsidR="00AE5DAB" w:rsidRPr="00092BBF" w:rsidRDefault="00AE5DAB" w:rsidP="000F2D28">
            <w:pPr>
              <w:pStyle w:val="Default"/>
              <w:contextualSpacing/>
              <w:jc w:val="both"/>
              <w:rPr>
                <w:color w:val="auto"/>
                <w:sz w:val="20"/>
                <w:szCs w:val="20"/>
              </w:rPr>
            </w:pPr>
            <w:r w:rsidRPr="00092BBF">
              <w:rPr>
                <w:color w:val="auto"/>
                <w:sz w:val="20"/>
                <w:szCs w:val="20"/>
              </w:rPr>
              <w:t>2013.</w:t>
            </w:r>
          </w:p>
        </w:tc>
        <w:tc>
          <w:tcPr>
            <w:tcW w:w="1047" w:type="dxa"/>
          </w:tcPr>
          <w:p w:rsidR="00AE5DAB" w:rsidRPr="00092BBF" w:rsidRDefault="00AE5DAB" w:rsidP="000F2D28">
            <w:pPr>
              <w:pStyle w:val="Default"/>
              <w:contextualSpacing/>
              <w:jc w:val="both"/>
              <w:rPr>
                <w:color w:val="auto"/>
                <w:sz w:val="20"/>
                <w:szCs w:val="20"/>
              </w:rPr>
            </w:pPr>
          </w:p>
        </w:tc>
        <w:tc>
          <w:tcPr>
            <w:tcW w:w="1250" w:type="dxa"/>
            <w:vAlign w:val="center"/>
          </w:tcPr>
          <w:p w:rsidR="00AE5DAB" w:rsidRPr="00092BBF" w:rsidRDefault="00AE5DAB" w:rsidP="000F2D28">
            <w:pPr>
              <w:pStyle w:val="Default"/>
              <w:contextualSpacing/>
              <w:jc w:val="both"/>
              <w:rPr>
                <w:color w:val="auto"/>
                <w:sz w:val="20"/>
                <w:szCs w:val="20"/>
              </w:rPr>
            </w:pPr>
            <w:r w:rsidRPr="00092BBF">
              <w:rPr>
                <w:color w:val="auto"/>
                <w:sz w:val="20"/>
                <w:szCs w:val="20"/>
              </w:rPr>
              <w:t>2014.</w:t>
            </w:r>
          </w:p>
        </w:tc>
        <w:tc>
          <w:tcPr>
            <w:tcW w:w="1134" w:type="dxa"/>
          </w:tcPr>
          <w:p w:rsidR="00AE5DAB" w:rsidRPr="00092BBF" w:rsidRDefault="00AE5DAB" w:rsidP="000F2D28">
            <w:pPr>
              <w:pStyle w:val="Default"/>
              <w:contextualSpacing/>
              <w:jc w:val="both"/>
              <w:rPr>
                <w:color w:val="auto"/>
                <w:sz w:val="20"/>
                <w:szCs w:val="20"/>
              </w:rPr>
            </w:pPr>
          </w:p>
        </w:tc>
        <w:tc>
          <w:tcPr>
            <w:tcW w:w="1276" w:type="dxa"/>
            <w:vAlign w:val="center"/>
          </w:tcPr>
          <w:p w:rsidR="00AE5DAB" w:rsidRPr="00092BBF" w:rsidRDefault="00AE5DAB" w:rsidP="000F2D28">
            <w:pPr>
              <w:pStyle w:val="Default"/>
              <w:contextualSpacing/>
              <w:jc w:val="both"/>
              <w:rPr>
                <w:color w:val="auto"/>
                <w:sz w:val="20"/>
                <w:szCs w:val="20"/>
              </w:rPr>
            </w:pPr>
            <w:r w:rsidRPr="00092BBF">
              <w:rPr>
                <w:color w:val="auto"/>
                <w:sz w:val="20"/>
                <w:szCs w:val="20"/>
              </w:rPr>
              <w:t>2015.</w:t>
            </w:r>
          </w:p>
        </w:tc>
        <w:tc>
          <w:tcPr>
            <w:tcW w:w="1134" w:type="dxa"/>
          </w:tcPr>
          <w:p w:rsidR="00AE5DAB" w:rsidRPr="00092BBF" w:rsidRDefault="00AE5DAB" w:rsidP="000F2D28">
            <w:pPr>
              <w:pStyle w:val="Default"/>
              <w:contextualSpacing/>
              <w:jc w:val="both"/>
              <w:rPr>
                <w:color w:val="auto"/>
                <w:sz w:val="20"/>
                <w:szCs w:val="20"/>
              </w:rPr>
            </w:pPr>
          </w:p>
        </w:tc>
      </w:tr>
      <w:tr w:rsidR="00AE5DAB" w:rsidRPr="00092BBF" w:rsidTr="00AE5DAB">
        <w:trPr>
          <w:trHeight w:val="450"/>
          <w:jc w:val="center"/>
        </w:trPr>
        <w:tc>
          <w:tcPr>
            <w:tcW w:w="1644" w:type="dxa"/>
            <w:vMerge/>
          </w:tcPr>
          <w:p w:rsidR="00AE5DAB" w:rsidRPr="00092BBF" w:rsidRDefault="00AE5DAB" w:rsidP="000F2D28">
            <w:pPr>
              <w:pStyle w:val="Default"/>
              <w:contextualSpacing/>
              <w:jc w:val="both"/>
              <w:rPr>
                <w:color w:val="auto"/>
                <w:sz w:val="20"/>
                <w:szCs w:val="20"/>
              </w:rPr>
            </w:pPr>
          </w:p>
        </w:tc>
        <w:tc>
          <w:tcPr>
            <w:tcW w:w="1250" w:type="dxa"/>
          </w:tcPr>
          <w:p w:rsidR="00AE5DAB" w:rsidRPr="00092BBF" w:rsidRDefault="00AE5DAB" w:rsidP="00AE5DAB">
            <w:pPr>
              <w:pStyle w:val="Default"/>
              <w:contextualSpacing/>
              <w:rPr>
                <w:color w:val="auto"/>
                <w:sz w:val="20"/>
                <w:szCs w:val="20"/>
              </w:rPr>
            </w:pPr>
            <w:r w:rsidRPr="00092BBF">
              <w:rPr>
                <w:color w:val="auto"/>
                <w:sz w:val="20"/>
                <w:szCs w:val="20"/>
              </w:rPr>
              <w:t>Municipality</w:t>
            </w:r>
          </w:p>
        </w:tc>
        <w:tc>
          <w:tcPr>
            <w:tcW w:w="1047" w:type="dxa"/>
            <w:vAlign w:val="center"/>
          </w:tcPr>
          <w:p w:rsidR="00AE5DAB" w:rsidRPr="00092BBF" w:rsidRDefault="00AE5DAB" w:rsidP="00FE14FF">
            <w:pPr>
              <w:pStyle w:val="Default"/>
              <w:contextualSpacing/>
              <w:jc w:val="center"/>
              <w:rPr>
                <w:color w:val="auto"/>
                <w:sz w:val="20"/>
                <w:szCs w:val="20"/>
              </w:rPr>
            </w:pPr>
            <w:r w:rsidRPr="00092BBF">
              <w:rPr>
                <w:color w:val="auto"/>
                <w:sz w:val="20"/>
                <w:szCs w:val="20"/>
              </w:rPr>
              <w:t>Overnight stays</w:t>
            </w:r>
          </w:p>
        </w:tc>
        <w:tc>
          <w:tcPr>
            <w:tcW w:w="1250" w:type="dxa"/>
          </w:tcPr>
          <w:p w:rsidR="00AE5DAB" w:rsidRPr="00092BBF" w:rsidRDefault="00AE5DAB" w:rsidP="00AE5DAB">
            <w:pPr>
              <w:pStyle w:val="Default"/>
              <w:contextualSpacing/>
              <w:rPr>
                <w:color w:val="auto"/>
                <w:sz w:val="20"/>
                <w:szCs w:val="20"/>
              </w:rPr>
            </w:pPr>
            <w:r w:rsidRPr="00092BBF">
              <w:rPr>
                <w:color w:val="auto"/>
                <w:sz w:val="20"/>
                <w:szCs w:val="20"/>
              </w:rPr>
              <w:t>Municipality</w:t>
            </w:r>
          </w:p>
        </w:tc>
        <w:tc>
          <w:tcPr>
            <w:tcW w:w="1134" w:type="dxa"/>
            <w:vAlign w:val="center"/>
          </w:tcPr>
          <w:p w:rsidR="00AE5DAB" w:rsidRPr="00092BBF" w:rsidRDefault="00AE5DAB" w:rsidP="006D1CC3">
            <w:pPr>
              <w:pStyle w:val="Default"/>
              <w:contextualSpacing/>
              <w:jc w:val="center"/>
              <w:rPr>
                <w:color w:val="auto"/>
                <w:sz w:val="20"/>
                <w:szCs w:val="20"/>
              </w:rPr>
            </w:pPr>
            <w:r w:rsidRPr="00092BBF">
              <w:rPr>
                <w:color w:val="auto"/>
                <w:sz w:val="20"/>
                <w:szCs w:val="20"/>
              </w:rPr>
              <w:t>Overnight stays</w:t>
            </w:r>
          </w:p>
        </w:tc>
        <w:tc>
          <w:tcPr>
            <w:tcW w:w="1276" w:type="dxa"/>
          </w:tcPr>
          <w:p w:rsidR="00AE5DAB" w:rsidRPr="00092BBF" w:rsidRDefault="00AE5DAB" w:rsidP="00AE5DAB">
            <w:pPr>
              <w:pStyle w:val="Default"/>
              <w:contextualSpacing/>
              <w:rPr>
                <w:color w:val="auto"/>
                <w:sz w:val="20"/>
                <w:szCs w:val="20"/>
              </w:rPr>
            </w:pPr>
            <w:r w:rsidRPr="00092BBF">
              <w:rPr>
                <w:color w:val="auto"/>
                <w:sz w:val="20"/>
                <w:szCs w:val="20"/>
              </w:rPr>
              <w:t>Municipality</w:t>
            </w:r>
          </w:p>
        </w:tc>
        <w:tc>
          <w:tcPr>
            <w:tcW w:w="1134" w:type="dxa"/>
            <w:vAlign w:val="center"/>
          </w:tcPr>
          <w:p w:rsidR="00AE5DAB" w:rsidRPr="00092BBF" w:rsidRDefault="00AE5DAB" w:rsidP="006D1CC3">
            <w:pPr>
              <w:pStyle w:val="Default"/>
              <w:contextualSpacing/>
              <w:jc w:val="center"/>
              <w:rPr>
                <w:color w:val="auto"/>
                <w:sz w:val="20"/>
                <w:szCs w:val="20"/>
              </w:rPr>
            </w:pPr>
            <w:r w:rsidRPr="00092BBF">
              <w:rPr>
                <w:color w:val="auto"/>
                <w:sz w:val="20"/>
                <w:szCs w:val="20"/>
              </w:rPr>
              <w:t>Overnight stays</w:t>
            </w:r>
          </w:p>
        </w:tc>
      </w:tr>
      <w:tr w:rsidR="00167FB3" w:rsidRPr="00092BBF" w:rsidTr="00430D9D">
        <w:trPr>
          <w:trHeight w:val="260"/>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Danube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17.320</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134" w:type="dxa"/>
          </w:tcPr>
          <w:p w:rsidR="00167FB3" w:rsidRPr="00092BBF" w:rsidRDefault="00664FCB" w:rsidP="000F2D28">
            <w:pPr>
              <w:pStyle w:val="Default"/>
              <w:contextualSpacing/>
              <w:rPr>
                <w:color w:val="auto"/>
                <w:sz w:val="20"/>
                <w:szCs w:val="20"/>
              </w:rPr>
            </w:pPr>
            <w:r w:rsidRPr="00092BBF">
              <w:rPr>
                <w:color w:val="auto"/>
                <w:sz w:val="20"/>
                <w:szCs w:val="20"/>
              </w:rPr>
              <w:t xml:space="preserve">  </w:t>
            </w:r>
            <w:r w:rsidR="00167FB3" w:rsidRPr="00092BBF">
              <w:rPr>
                <w:color w:val="auto"/>
                <w:sz w:val="20"/>
                <w:szCs w:val="20"/>
              </w:rPr>
              <w:t>12.526</w:t>
            </w:r>
          </w:p>
        </w:tc>
        <w:tc>
          <w:tcPr>
            <w:tcW w:w="1276" w:type="dxa"/>
          </w:tcPr>
          <w:p w:rsidR="00167FB3" w:rsidRPr="00092BBF" w:rsidRDefault="00167FB3" w:rsidP="00430D9D">
            <w:pPr>
              <w:pStyle w:val="Default"/>
              <w:contextualSpacing/>
              <w:rPr>
                <w:color w:val="auto"/>
                <w:sz w:val="20"/>
                <w:szCs w:val="20"/>
              </w:rPr>
            </w:pPr>
            <w:r w:rsidRPr="00092BBF">
              <w:rPr>
                <w:color w:val="auto"/>
                <w:sz w:val="20"/>
                <w:szCs w:val="20"/>
              </w:rPr>
              <w:t>Velika Plana</w:t>
            </w:r>
          </w:p>
        </w:tc>
        <w:tc>
          <w:tcPr>
            <w:tcW w:w="1134" w:type="dxa"/>
          </w:tcPr>
          <w:p w:rsidR="00167FB3" w:rsidRPr="00092BBF" w:rsidRDefault="00664FCB" w:rsidP="000F2D28">
            <w:pPr>
              <w:pStyle w:val="Default"/>
              <w:contextualSpacing/>
              <w:rPr>
                <w:color w:val="auto"/>
                <w:sz w:val="20"/>
                <w:szCs w:val="20"/>
              </w:rPr>
            </w:pPr>
            <w:r w:rsidRPr="00092BBF">
              <w:rPr>
                <w:color w:val="auto"/>
                <w:sz w:val="20"/>
                <w:szCs w:val="20"/>
              </w:rPr>
              <w:t xml:space="preserve">  </w:t>
            </w:r>
            <w:r w:rsidR="00167FB3" w:rsidRPr="00092BBF">
              <w:rPr>
                <w:color w:val="auto"/>
                <w:sz w:val="20"/>
                <w:szCs w:val="20"/>
              </w:rPr>
              <w:t>13.970</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Branicevo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Veliko Gradište</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25.848</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Veliko Gradište</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27.597</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Veliko Gradište</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37.476</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Bor District</w:t>
            </w:r>
          </w:p>
        </w:tc>
        <w:tc>
          <w:tcPr>
            <w:tcW w:w="1250" w:type="dxa"/>
          </w:tcPr>
          <w:p w:rsidR="00167FB3" w:rsidRPr="00092BBF" w:rsidRDefault="00167FB3" w:rsidP="00430D9D">
            <w:pPr>
              <w:pStyle w:val="Default"/>
              <w:contextualSpacing/>
              <w:rPr>
                <w:color w:val="auto"/>
                <w:sz w:val="20"/>
                <w:szCs w:val="20"/>
              </w:rPr>
            </w:pPr>
            <w:r w:rsidRPr="00092BBF">
              <w:rPr>
                <w:bCs/>
                <w:color w:val="auto"/>
                <w:sz w:val="20"/>
                <w:szCs w:val="20"/>
              </w:rPr>
              <w:t>Kladovo</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63.577</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Bor</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47.124</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Kladovo</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49.326</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Zajecar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Sokobanja</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306.506</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Sokobanja</w:t>
            </w:r>
          </w:p>
        </w:tc>
        <w:tc>
          <w:tcPr>
            <w:tcW w:w="1134" w:type="dxa"/>
          </w:tcPr>
          <w:p w:rsidR="00167FB3" w:rsidRPr="00092BBF" w:rsidRDefault="00167FB3" w:rsidP="000F2D28">
            <w:pPr>
              <w:pStyle w:val="Default"/>
              <w:contextualSpacing/>
              <w:rPr>
                <w:bCs/>
                <w:color w:val="auto"/>
                <w:sz w:val="20"/>
                <w:szCs w:val="20"/>
              </w:rPr>
            </w:pPr>
            <w:r w:rsidRPr="00092BBF">
              <w:rPr>
                <w:color w:val="auto"/>
                <w:sz w:val="20"/>
                <w:szCs w:val="20"/>
              </w:rPr>
              <w:t>219.755</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Sokobanja</w:t>
            </w:r>
          </w:p>
        </w:tc>
        <w:tc>
          <w:tcPr>
            <w:tcW w:w="1134" w:type="dxa"/>
          </w:tcPr>
          <w:p w:rsidR="00167FB3" w:rsidRPr="00092BBF" w:rsidRDefault="00167FB3" w:rsidP="000F2D28">
            <w:pPr>
              <w:pStyle w:val="Default"/>
              <w:contextualSpacing/>
              <w:rPr>
                <w:bCs/>
                <w:color w:val="auto"/>
                <w:sz w:val="20"/>
                <w:szCs w:val="20"/>
              </w:rPr>
            </w:pPr>
            <w:r w:rsidRPr="00092BBF">
              <w:rPr>
                <w:color w:val="auto"/>
                <w:sz w:val="20"/>
                <w:szCs w:val="20"/>
              </w:rPr>
              <w:t>194.896</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Nis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Medijana (Niš)  </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53.101</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Medijana (Niš)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53.893</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Medijana (Niš)</w:t>
            </w:r>
            <w:r w:rsidRPr="00092BBF">
              <w:rPr>
                <w:color w:val="auto"/>
                <w:sz w:val="20"/>
                <w:szCs w:val="20"/>
              </w:rPr>
              <w:t xml:space="preserve">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70.473</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Toplica District</w:t>
            </w:r>
          </w:p>
        </w:tc>
        <w:tc>
          <w:tcPr>
            <w:tcW w:w="1250" w:type="dxa"/>
          </w:tcPr>
          <w:p w:rsidR="00167FB3" w:rsidRPr="00092BBF" w:rsidRDefault="00167FB3" w:rsidP="00430D9D">
            <w:pPr>
              <w:pStyle w:val="Default"/>
              <w:contextualSpacing/>
              <w:rPr>
                <w:color w:val="auto"/>
                <w:sz w:val="20"/>
                <w:szCs w:val="20"/>
              </w:rPr>
            </w:pPr>
            <w:r w:rsidRPr="00092BBF">
              <w:rPr>
                <w:bCs/>
                <w:color w:val="auto"/>
                <w:sz w:val="20"/>
                <w:szCs w:val="20"/>
              </w:rPr>
              <w:t>Kuršumlija</w:t>
            </w:r>
          </w:p>
        </w:tc>
        <w:tc>
          <w:tcPr>
            <w:tcW w:w="1047" w:type="dxa"/>
          </w:tcPr>
          <w:p w:rsidR="00167FB3" w:rsidRPr="00092BBF" w:rsidRDefault="00167FB3" w:rsidP="000F2D28">
            <w:pPr>
              <w:pStyle w:val="Default"/>
              <w:contextualSpacing/>
              <w:rPr>
                <w:bCs/>
                <w:color w:val="auto"/>
                <w:sz w:val="20"/>
                <w:szCs w:val="20"/>
              </w:rPr>
            </w:pPr>
            <w:r w:rsidRPr="00092BBF">
              <w:rPr>
                <w:color w:val="auto"/>
                <w:sz w:val="20"/>
                <w:szCs w:val="20"/>
              </w:rPr>
              <w:t>133.303</w:t>
            </w:r>
          </w:p>
        </w:tc>
        <w:tc>
          <w:tcPr>
            <w:tcW w:w="1250" w:type="dxa"/>
          </w:tcPr>
          <w:p w:rsidR="00167FB3" w:rsidRPr="00092BBF" w:rsidRDefault="00167FB3" w:rsidP="00430D9D">
            <w:pPr>
              <w:pStyle w:val="Default"/>
              <w:contextualSpacing/>
              <w:rPr>
                <w:color w:val="auto"/>
                <w:sz w:val="20"/>
                <w:szCs w:val="20"/>
              </w:rPr>
            </w:pPr>
            <w:r w:rsidRPr="00092BBF">
              <w:rPr>
                <w:bCs/>
                <w:color w:val="auto"/>
                <w:sz w:val="20"/>
                <w:szCs w:val="20"/>
              </w:rPr>
              <w:t>Kuršumlija</w:t>
            </w:r>
          </w:p>
        </w:tc>
        <w:tc>
          <w:tcPr>
            <w:tcW w:w="1134" w:type="dxa"/>
          </w:tcPr>
          <w:p w:rsidR="00167FB3" w:rsidRPr="00092BBF" w:rsidRDefault="00167FB3" w:rsidP="000F2D28">
            <w:pPr>
              <w:pStyle w:val="Default"/>
              <w:contextualSpacing/>
              <w:rPr>
                <w:bCs/>
                <w:color w:val="auto"/>
                <w:sz w:val="20"/>
                <w:szCs w:val="20"/>
              </w:rPr>
            </w:pPr>
            <w:r w:rsidRPr="00092BBF">
              <w:rPr>
                <w:color w:val="auto"/>
                <w:sz w:val="20"/>
                <w:szCs w:val="20"/>
              </w:rPr>
              <w:t>135.179</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Kuršumlija</w:t>
            </w:r>
          </w:p>
        </w:tc>
        <w:tc>
          <w:tcPr>
            <w:tcW w:w="1134" w:type="dxa"/>
          </w:tcPr>
          <w:p w:rsidR="00167FB3" w:rsidRPr="00092BBF" w:rsidRDefault="00167FB3" w:rsidP="000F2D28">
            <w:pPr>
              <w:pStyle w:val="Default"/>
              <w:contextualSpacing/>
              <w:rPr>
                <w:bCs/>
                <w:color w:val="auto"/>
                <w:sz w:val="20"/>
                <w:szCs w:val="20"/>
              </w:rPr>
            </w:pPr>
            <w:r w:rsidRPr="00092BBF">
              <w:rPr>
                <w:color w:val="auto"/>
                <w:sz w:val="20"/>
                <w:szCs w:val="20"/>
              </w:rPr>
              <w:t>157.013</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Pirot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Pirot  </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16.618</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Pirot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24.858</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Pirot</w:t>
            </w:r>
            <w:r w:rsidRPr="00092BBF">
              <w:rPr>
                <w:color w:val="auto"/>
                <w:sz w:val="20"/>
                <w:szCs w:val="20"/>
              </w:rPr>
              <w:t xml:space="preserve">  </w:t>
            </w:r>
          </w:p>
        </w:tc>
        <w:tc>
          <w:tcPr>
            <w:tcW w:w="1134" w:type="dxa"/>
          </w:tcPr>
          <w:p w:rsidR="00167FB3" w:rsidRPr="00092BBF" w:rsidRDefault="00AE5DAB" w:rsidP="000F2D28">
            <w:pPr>
              <w:pStyle w:val="Default"/>
              <w:contextualSpacing/>
              <w:rPr>
                <w:bCs/>
                <w:color w:val="auto"/>
                <w:sz w:val="20"/>
                <w:szCs w:val="20"/>
              </w:rPr>
            </w:pPr>
            <w:r w:rsidRPr="00092BBF">
              <w:rPr>
                <w:color w:val="auto"/>
                <w:sz w:val="20"/>
                <w:szCs w:val="20"/>
              </w:rPr>
              <w:t xml:space="preserve">  </w:t>
            </w:r>
            <w:r w:rsidR="006D1CC3" w:rsidRPr="00092BBF">
              <w:rPr>
                <w:color w:val="auto"/>
                <w:sz w:val="20"/>
                <w:szCs w:val="20"/>
              </w:rPr>
              <w:t>22.057</w:t>
            </w:r>
          </w:p>
        </w:tc>
      </w:tr>
      <w:tr w:rsidR="00167FB3" w:rsidRPr="00092BBF" w:rsidTr="00FE14FF">
        <w:trPr>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Jablanica District</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Medveđa </w:t>
            </w:r>
          </w:p>
        </w:tc>
        <w:tc>
          <w:tcPr>
            <w:tcW w:w="1047" w:type="dxa"/>
          </w:tcPr>
          <w:p w:rsidR="00167FB3" w:rsidRPr="00092BBF" w:rsidRDefault="00167FB3" w:rsidP="000F2D28">
            <w:pPr>
              <w:pStyle w:val="Default"/>
              <w:contextualSpacing/>
              <w:rPr>
                <w:color w:val="auto"/>
                <w:sz w:val="20"/>
                <w:szCs w:val="20"/>
              </w:rPr>
            </w:pPr>
            <w:r w:rsidRPr="00092BBF">
              <w:rPr>
                <w:color w:val="auto"/>
                <w:sz w:val="20"/>
                <w:szCs w:val="20"/>
              </w:rPr>
              <w:t xml:space="preserve">  51.426</w:t>
            </w:r>
          </w:p>
        </w:tc>
        <w:tc>
          <w:tcPr>
            <w:tcW w:w="1250" w:type="dxa"/>
          </w:tcPr>
          <w:p w:rsidR="00167FB3" w:rsidRPr="00092BBF" w:rsidRDefault="00167FB3" w:rsidP="00430D9D">
            <w:pPr>
              <w:pStyle w:val="Default"/>
              <w:contextualSpacing/>
              <w:rPr>
                <w:color w:val="auto"/>
                <w:sz w:val="20"/>
                <w:szCs w:val="20"/>
              </w:rPr>
            </w:pPr>
            <w:r w:rsidRPr="00092BBF">
              <w:rPr>
                <w:color w:val="auto"/>
                <w:sz w:val="20"/>
                <w:szCs w:val="20"/>
              </w:rPr>
              <w:t xml:space="preserve">Medveđa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48.471</w:t>
            </w:r>
          </w:p>
        </w:tc>
        <w:tc>
          <w:tcPr>
            <w:tcW w:w="1276" w:type="dxa"/>
          </w:tcPr>
          <w:p w:rsidR="00167FB3" w:rsidRPr="00092BBF" w:rsidRDefault="00167FB3" w:rsidP="00430D9D">
            <w:pPr>
              <w:pStyle w:val="Default"/>
              <w:contextualSpacing/>
              <w:rPr>
                <w:color w:val="auto"/>
                <w:sz w:val="20"/>
                <w:szCs w:val="20"/>
              </w:rPr>
            </w:pPr>
            <w:r w:rsidRPr="00092BBF">
              <w:rPr>
                <w:bCs/>
                <w:color w:val="auto"/>
                <w:sz w:val="20"/>
                <w:szCs w:val="20"/>
              </w:rPr>
              <w:t>Medveđa</w:t>
            </w:r>
            <w:r w:rsidRPr="00092BBF">
              <w:rPr>
                <w:color w:val="auto"/>
                <w:sz w:val="20"/>
                <w:szCs w:val="20"/>
              </w:rPr>
              <w:t xml:space="preserve">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46.995</w:t>
            </w:r>
          </w:p>
        </w:tc>
      </w:tr>
      <w:tr w:rsidR="00167FB3" w:rsidRPr="00092BBF" w:rsidTr="00FE14FF">
        <w:trPr>
          <w:trHeight w:val="425"/>
          <w:jc w:val="center"/>
        </w:trPr>
        <w:tc>
          <w:tcPr>
            <w:tcW w:w="1644" w:type="dxa"/>
          </w:tcPr>
          <w:p w:rsidR="00167FB3" w:rsidRPr="00092BBF" w:rsidRDefault="00167FB3" w:rsidP="000F2D28">
            <w:pPr>
              <w:pStyle w:val="Default"/>
              <w:contextualSpacing/>
              <w:jc w:val="both"/>
              <w:rPr>
                <w:color w:val="auto"/>
                <w:sz w:val="20"/>
                <w:szCs w:val="20"/>
              </w:rPr>
            </w:pPr>
            <w:r w:rsidRPr="00092BBF">
              <w:rPr>
                <w:color w:val="auto"/>
                <w:sz w:val="20"/>
                <w:szCs w:val="20"/>
              </w:rPr>
              <w:t>Pcinja District</w:t>
            </w:r>
          </w:p>
        </w:tc>
        <w:tc>
          <w:tcPr>
            <w:tcW w:w="1250" w:type="dxa"/>
          </w:tcPr>
          <w:p w:rsidR="00167FB3" w:rsidRPr="00092BBF" w:rsidRDefault="00167FB3" w:rsidP="00430D9D">
            <w:pPr>
              <w:pStyle w:val="Default"/>
              <w:contextualSpacing/>
              <w:rPr>
                <w:color w:val="auto"/>
                <w:sz w:val="20"/>
                <w:szCs w:val="20"/>
              </w:rPr>
            </w:pPr>
            <w:r w:rsidRPr="00092BBF">
              <w:rPr>
                <w:bCs/>
                <w:color w:val="auto"/>
                <w:sz w:val="20"/>
                <w:szCs w:val="20"/>
              </w:rPr>
              <w:t>Vranjska Banja</w:t>
            </w:r>
            <w:r w:rsidRPr="00092BBF">
              <w:rPr>
                <w:color w:val="auto"/>
                <w:sz w:val="20"/>
                <w:szCs w:val="20"/>
              </w:rPr>
              <w:t xml:space="preserve"> </w:t>
            </w:r>
          </w:p>
        </w:tc>
        <w:tc>
          <w:tcPr>
            <w:tcW w:w="1047" w:type="dxa"/>
          </w:tcPr>
          <w:p w:rsidR="00167FB3" w:rsidRPr="00092BBF" w:rsidRDefault="00167FB3" w:rsidP="000F2D28">
            <w:pPr>
              <w:pStyle w:val="Default"/>
              <w:contextualSpacing/>
              <w:rPr>
                <w:bCs/>
                <w:color w:val="auto"/>
                <w:sz w:val="20"/>
                <w:szCs w:val="20"/>
              </w:rPr>
            </w:pPr>
            <w:r w:rsidRPr="00092BBF">
              <w:rPr>
                <w:color w:val="auto"/>
                <w:sz w:val="20"/>
                <w:szCs w:val="20"/>
              </w:rPr>
              <w:t xml:space="preserve">  33.000</w:t>
            </w:r>
          </w:p>
        </w:tc>
        <w:tc>
          <w:tcPr>
            <w:tcW w:w="1250" w:type="dxa"/>
          </w:tcPr>
          <w:p w:rsidR="00167FB3" w:rsidRPr="00092BBF" w:rsidRDefault="00167FB3" w:rsidP="00430D9D">
            <w:pPr>
              <w:pStyle w:val="Default"/>
              <w:contextualSpacing/>
              <w:rPr>
                <w:color w:val="auto"/>
                <w:sz w:val="20"/>
                <w:szCs w:val="20"/>
              </w:rPr>
            </w:pPr>
            <w:r w:rsidRPr="00092BBF">
              <w:rPr>
                <w:bCs/>
                <w:color w:val="auto"/>
                <w:sz w:val="20"/>
                <w:szCs w:val="20"/>
              </w:rPr>
              <w:t>Vranjska Banja</w:t>
            </w:r>
            <w:r w:rsidRPr="00092BBF">
              <w:rPr>
                <w:color w:val="auto"/>
                <w:sz w:val="20"/>
                <w:szCs w:val="20"/>
              </w:rPr>
              <w:t xml:space="preserve">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26.393</w:t>
            </w:r>
          </w:p>
        </w:tc>
        <w:tc>
          <w:tcPr>
            <w:tcW w:w="1276" w:type="dxa"/>
          </w:tcPr>
          <w:p w:rsidR="00167FB3" w:rsidRPr="00092BBF" w:rsidRDefault="00167FB3" w:rsidP="00664FCB">
            <w:pPr>
              <w:pStyle w:val="Default"/>
              <w:contextualSpacing/>
              <w:rPr>
                <w:color w:val="auto"/>
                <w:sz w:val="20"/>
                <w:szCs w:val="20"/>
              </w:rPr>
            </w:pPr>
            <w:r w:rsidRPr="00092BBF">
              <w:rPr>
                <w:bCs/>
                <w:color w:val="auto"/>
                <w:sz w:val="20"/>
                <w:szCs w:val="20"/>
              </w:rPr>
              <w:t>Vranjska Banja</w:t>
            </w:r>
            <w:r w:rsidRPr="00092BBF">
              <w:rPr>
                <w:color w:val="auto"/>
                <w:sz w:val="20"/>
                <w:szCs w:val="20"/>
              </w:rPr>
              <w:t xml:space="preserve"> </w:t>
            </w:r>
          </w:p>
        </w:tc>
        <w:tc>
          <w:tcPr>
            <w:tcW w:w="1134" w:type="dxa"/>
          </w:tcPr>
          <w:p w:rsidR="00167FB3" w:rsidRPr="00092BBF" w:rsidRDefault="00664FCB" w:rsidP="000F2D28">
            <w:pPr>
              <w:pStyle w:val="Default"/>
              <w:contextualSpacing/>
              <w:rPr>
                <w:bCs/>
                <w:color w:val="auto"/>
                <w:sz w:val="20"/>
                <w:szCs w:val="20"/>
              </w:rPr>
            </w:pPr>
            <w:r w:rsidRPr="00092BBF">
              <w:rPr>
                <w:color w:val="auto"/>
                <w:sz w:val="20"/>
                <w:szCs w:val="20"/>
              </w:rPr>
              <w:t xml:space="preserve">  </w:t>
            </w:r>
            <w:r w:rsidR="00167FB3" w:rsidRPr="00092BBF">
              <w:rPr>
                <w:color w:val="auto"/>
                <w:sz w:val="20"/>
                <w:szCs w:val="20"/>
              </w:rPr>
              <w:t>23.666</w:t>
            </w:r>
          </w:p>
        </w:tc>
      </w:tr>
    </w:tbl>
    <w:p w:rsidR="008D6000" w:rsidRPr="00092BBF" w:rsidRDefault="008D6000" w:rsidP="00D72225">
      <w:pPr>
        <w:spacing w:after="0" w:line="240" w:lineRule="auto"/>
        <w:jc w:val="center"/>
        <w:rPr>
          <w:rFonts w:ascii="Times New Roman" w:hAnsi="Times New Roman" w:cs="Times New Roman"/>
          <w:color w:val="FF0000"/>
          <w:sz w:val="20"/>
          <w:szCs w:val="20"/>
        </w:rPr>
      </w:pPr>
    </w:p>
    <w:p w:rsidR="009B4D36" w:rsidRPr="00092BBF" w:rsidRDefault="009B4D36" w:rsidP="00D72225">
      <w:pPr>
        <w:spacing w:after="0" w:line="240" w:lineRule="auto"/>
        <w:jc w:val="center"/>
        <w:rPr>
          <w:rFonts w:ascii="Times New Roman" w:hAnsi="Times New Roman" w:cs="Times New Roman"/>
          <w:color w:val="FF0000"/>
          <w:sz w:val="20"/>
          <w:szCs w:val="20"/>
        </w:rPr>
      </w:pPr>
    </w:p>
    <w:p w:rsidR="009B4D36" w:rsidRPr="00092BBF" w:rsidRDefault="009B4D36" w:rsidP="00D72225">
      <w:pPr>
        <w:spacing w:after="0" w:line="240" w:lineRule="auto"/>
        <w:jc w:val="center"/>
        <w:rPr>
          <w:rFonts w:ascii="Times New Roman" w:hAnsi="Times New Roman" w:cs="Times New Roman"/>
          <w:sz w:val="20"/>
          <w:szCs w:val="20"/>
        </w:rPr>
      </w:pPr>
      <w:r w:rsidRPr="00092BBF">
        <w:rPr>
          <w:rFonts w:ascii="Times New Roman" w:hAnsi="Times New Roman" w:cs="Times New Roman"/>
          <w:sz w:val="20"/>
          <w:szCs w:val="20"/>
        </w:rPr>
        <w:t>Table 9: Participation of the South and Eastern Serbia region in the tourist</w:t>
      </w:r>
      <w:r w:rsidR="00597FE0" w:rsidRPr="00092BBF">
        <w:rPr>
          <w:rFonts w:ascii="Times New Roman" w:hAnsi="Times New Roman" w:cs="Times New Roman"/>
          <w:sz w:val="20"/>
          <w:szCs w:val="20"/>
        </w:rPr>
        <w:t>s’</w:t>
      </w:r>
      <w:r w:rsidRPr="00092BBF">
        <w:rPr>
          <w:rFonts w:ascii="Times New Roman" w:hAnsi="Times New Roman" w:cs="Times New Roman"/>
          <w:sz w:val="20"/>
          <w:szCs w:val="20"/>
        </w:rPr>
        <w:t xml:space="preserve"> traffic of the Republic of Serbia in the period of 2011-2015 (source: Statistical Yearbook of the Republic of Serbia, Belgrade, 2016)</w:t>
      </w:r>
    </w:p>
    <w:tbl>
      <w:tblPr>
        <w:tblStyle w:val="TableGrid"/>
        <w:tblW w:w="0" w:type="auto"/>
        <w:jc w:val="center"/>
        <w:tblLook w:val="04A0"/>
      </w:tblPr>
      <w:tblGrid>
        <w:gridCol w:w="616"/>
        <w:gridCol w:w="1102"/>
        <w:gridCol w:w="1276"/>
        <w:gridCol w:w="1984"/>
        <w:gridCol w:w="1149"/>
        <w:gridCol w:w="1417"/>
        <w:gridCol w:w="1970"/>
      </w:tblGrid>
      <w:tr w:rsidR="00D72225" w:rsidRPr="00092BBF" w:rsidTr="00AE5DAB">
        <w:trPr>
          <w:jc w:val="center"/>
        </w:trPr>
        <w:tc>
          <w:tcPr>
            <w:tcW w:w="616" w:type="dxa"/>
            <w:vMerge w:val="restart"/>
          </w:tcPr>
          <w:p w:rsidR="00D72225" w:rsidRPr="00092BBF" w:rsidRDefault="009B4D36" w:rsidP="009B4D36">
            <w:pPr>
              <w:pStyle w:val="Default"/>
              <w:contextualSpacing/>
              <w:jc w:val="both"/>
              <w:rPr>
                <w:color w:val="auto"/>
                <w:sz w:val="20"/>
                <w:szCs w:val="20"/>
              </w:rPr>
            </w:pPr>
            <w:r w:rsidRPr="00092BBF">
              <w:rPr>
                <w:color w:val="auto"/>
                <w:sz w:val="20"/>
                <w:szCs w:val="20"/>
              </w:rPr>
              <w:t>Year</w:t>
            </w:r>
          </w:p>
        </w:tc>
        <w:tc>
          <w:tcPr>
            <w:tcW w:w="4362" w:type="dxa"/>
            <w:gridSpan w:val="3"/>
          </w:tcPr>
          <w:p w:rsidR="00D72225" w:rsidRPr="00092BBF" w:rsidRDefault="009B4D36" w:rsidP="009B4D36">
            <w:pPr>
              <w:pStyle w:val="Default"/>
              <w:contextualSpacing/>
              <w:jc w:val="both"/>
              <w:rPr>
                <w:color w:val="auto"/>
                <w:sz w:val="20"/>
                <w:szCs w:val="20"/>
              </w:rPr>
            </w:pPr>
            <w:r w:rsidRPr="00092BBF">
              <w:rPr>
                <w:color w:val="auto"/>
                <w:sz w:val="20"/>
                <w:szCs w:val="20"/>
              </w:rPr>
              <w:t>Tourist</w:t>
            </w:r>
            <w:r w:rsidR="00597FE0" w:rsidRPr="00092BBF">
              <w:rPr>
                <w:color w:val="auto"/>
                <w:sz w:val="20"/>
                <w:szCs w:val="20"/>
              </w:rPr>
              <w:t>s’</w:t>
            </w:r>
            <w:r w:rsidRPr="00092BBF">
              <w:rPr>
                <w:color w:val="auto"/>
                <w:sz w:val="20"/>
                <w:szCs w:val="20"/>
              </w:rPr>
              <w:t xml:space="preserve"> arrivals</w:t>
            </w:r>
            <w:r w:rsidR="00D72225" w:rsidRPr="00092BBF">
              <w:rPr>
                <w:color w:val="auto"/>
                <w:sz w:val="20"/>
                <w:szCs w:val="20"/>
              </w:rPr>
              <w:t xml:space="preserve"> (</w:t>
            </w:r>
            <w:r w:rsidRPr="00092BBF">
              <w:rPr>
                <w:color w:val="auto"/>
                <w:sz w:val="20"/>
                <w:szCs w:val="20"/>
              </w:rPr>
              <w:t>domestic and foreign</w:t>
            </w:r>
            <w:r w:rsidR="00D72225" w:rsidRPr="00092BBF">
              <w:rPr>
                <w:color w:val="auto"/>
                <w:sz w:val="20"/>
                <w:szCs w:val="20"/>
              </w:rPr>
              <w:t>)</w:t>
            </w:r>
          </w:p>
        </w:tc>
        <w:tc>
          <w:tcPr>
            <w:tcW w:w="4536" w:type="dxa"/>
            <w:gridSpan w:val="3"/>
          </w:tcPr>
          <w:p w:rsidR="00D72225" w:rsidRPr="00092BBF" w:rsidRDefault="009B4D36" w:rsidP="009B4D36">
            <w:pPr>
              <w:pStyle w:val="Default"/>
              <w:contextualSpacing/>
              <w:jc w:val="both"/>
              <w:rPr>
                <w:color w:val="auto"/>
                <w:sz w:val="20"/>
                <w:szCs w:val="20"/>
              </w:rPr>
            </w:pPr>
            <w:r w:rsidRPr="00092BBF">
              <w:rPr>
                <w:color w:val="auto"/>
                <w:sz w:val="20"/>
                <w:szCs w:val="20"/>
              </w:rPr>
              <w:t xml:space="preserve">Overnight stays </w:t>
            </w:r>
            <w:r w:rsidR="00D72225" w:rsidRPr="00092BBF">
              <w:rPr>
                <w:color w:val="auto"/>
                <w:sz w:val="20"/>
                <w:szCs w:val="20"/>
              </w:rPr>
              <w:t>(</w:t>
            </w:r>
            <w:r w:rsidRPr="00092BBF">
              <w:rPr>
                <w:color w:val="auto"/>
                <w:sz w:val="20"/>
                <w:szCs w:val="20"/>
              </w:rPr>
              <w:t>domestic and foreign</w:t>
            </w:r>
            <w:r w:rsidR="00D72225" w:rsidRPr="00092BBF">
              <w:rPr>
                <w:color w:val="auto"/>
                <w:sz w:val="20"/>
                <w:szCs w:val="20"/>
              </w:rPr>
              <w:t>)</w:t>
            </w:r>
          </w:p>
        </w:tc>
      </w:tr>
      <w:tr w:rsidR="009B4D36" w:rsidRPr="00092BBF" w:rsidTr="00AE5DAB">
        <w:trPr>
          <w:jc w:val="center"/>
        </w:trPr>
        <w:tc>
          <w:tcPr>
            <w:tcW w:w="616" w:type="dxa"/>
            <w:vMerge/>
          </w:tcPr>
          <w:p w:rsidR="009B4D36" w:rsidRPr="00092BBF" w:rsidRDefault="009B4D36" w:rsidP="001A72C1">
            <w:pPr>
              <w:pStyle w:val="Default"/>
              <w:contextualSpacing/>
              <w:jc w:val="both"/>
              <w:rPr>
                <w:color w:val="auto"/>
                <w:sz w:val="20"/>
                <w:szCs w:val="20"/>
              </w:rPr>
            </w:pPr>
          </w:p>
        </w:tc>
        <w:tc>
          <w:tcPr>
            <w:tcW w:w="1102" w:type="dxa"/>
          </w:tcPr>
          <w:p w:rsidR="009B4D36" w:rsidRPr="00092BBF" w:rsidRDefault="009B4D36" w:rsidP="009B4D36">
            <w:pPr>
              <w:pStyle w:val="Default"/>
              <w:contextualSpacing/>
              <w:jc w:val="both"/>
              <w:rPr>
                <w:color w:val="auto"/>
                <w:sz w:val="20"/>
                <w:szCs w:val="20"/>
              </w:rPr>
            </w:pPr>
            <w:r w:rsidRPr="00092BBF">
              <w:rPr>
                <w:color w:val="auto"/>
                <w:sz w:val="20"/>
                <w:szCs w:val="20"/>
              </w:rPr>
              <w:t>Republic of Serbia</w:t>
            </w:r>
          </w:p>
        </w:tc>
        <w:tc>
          <w:tcPr>
            <w:tcW w:w="1276" w:type="dxa"/>
          </w:tcPr>
          <w:p w:rsidR="009B4D36" w:rsidRPr="00092BBF" w:rsidRDefault="009B4D36" w:rsidP="009B4D36">
            <w:pPr>
              <w:pStyle w:val="Default"/>
              <w:contextualSpacing/>
              <w:jc w:val="both"/>
              <w:rPr>
                <w:color w:val="auto"/>
                <w:sz w:val="20"/>
                <w:szCs w:val="20"/>
              </w:rPr>
            </w:pPr>
            <w:r w:rsidRPr="00092BBF">
              <w:rPr>
                <w:color w:val="auto"/>
                <w:sz w:val="20"/>
                <w:szCs w:val="20"/>
              </w:rPr>
              <w:t>South and East Serbia Region</w:t>
            </w:r>
          </w:p>
        </w:tc>
        <w:tc>
          <w:tcPr>
            <w:tcW w:w="1984" w:type="dxa"/>
          </w:tcPr>
          <w:p w:rsidR="009B4D36" w:rsidRPr="00092BBF" w:rsidRDefault="009B4D36" w:rsidP="009B4D36">
            <w:pPr>
              <w:pStyle w:val="Default"/>
              <w:contextualSpacing/>
              <w:jc w:val="both"/>
              <w:rPr>
                <w:color w:val="auto"/>
                <w:sz w:val="20"/>
                <w:szCs w:val="20"/>
              </w:rPr>
            </w:pPr>
            <w:r w:rsidRPr="00092BBF">
              <w:rPr>
                <w:color w:val="auto"/>
                <w:sz w:val="20"/>
                <w:szCs w:val="20"/>
              </w:rPr>
              <w:t xml:space="preserve">Region participation in the total number of arrivals </w:t>
            </w:r>
          </w:p>
        </w:tc>
        <w:tc>
          <w:tcPr>
            <w:tcW w:w="1149" w:type="dxa"/>
          </w:tcPr>
          <w:p w:rsidR="009B4D36" w:rsidRPr="00092BBF" w:rsidRDefault="009B4D36" w:rsidP="006D1CC3">
            <w:pPr>
              <w:pStyle w:val="Default"/>
              <w:contextualSpacing/>
              <w:jc w:val="both"/>
              <w:rPr>
                <w:color w:val="auto"/>
                <w:sz w:val="20"/>
                <w:szCs w:val="20"/>
              </w:rPr>
            </w:pPr>
            <w:r w:rsidRPr="00092BBF">
              <w:rPr>
                <w:color w:val="auto"/>
                <w:sz w:val="20"/>
                <w:szCs w:val="20"/>
              </w:rPr>
              <w:t>Republic of Serbia</w:t>
            </w:r>
          </w:p>
        </w:tc>
        <w:tc>
          <w:tcPr>
            <w:tcW w:w="1417" w:type="dxa"/>
          </w:tcPr>
          <w:p w:rsidR="009B4D36" w:rsidRPr="00092BBF" w:rsidRDefault="009B4D36" w:rsidP="006D1CC3">
            <w:pPr>
              <w:pStyle w:val="Default"/>
              <w:contextualSpacing/>
              <w:jc w:val="both"/>
              <w:rPr>
                <w:color w:val="auto"/>
                <w:sz w:val="20"/>
                <w:szCs w:val="20"/>
              </w:rPr>
            </w:pPr>
            <w:r w:rsidRPr="00092BBF">
              <w:rPr>
                <w:color w:val="auto"/>
                <w:sz w:val="20"/>
                <w:szCs w:val="20"/>
              </w:rPr>
              <w:t>South and East Serbia Region</w:t>
            </w:r>
          </w:p>
        </w:tc>
        <w:tc>
          <w:tcPr>
            <w:tcW w:w="1970" w:type="dxa"/>
          </w:tcPr>
          <w:p w:rsidR="009B4D36" w:rsidRPr="00092BBF" w:rsidRDefault="009B4D36" w:rsidP="009B4D36">
            <w:pPr>
              <w:pStyle w:val="Default"/>
              <w:contextualSpacing/>
              <w:jc w:val="both"/>
              <w:rPr>
                <w:color w:val="auto"/>
                <w:sz w:val="20"/>
                <w:szCs w:val="20"/>
              </w:rPr>
            </w:pPr>
            <w:r w:rsidRPr="00092BBF">
              <w:rPr>
                <w:color w:val="auto"/>
                <w:sz w:val="20"/>
                <w:szCs w:val="20"/>
              </w:rPr>
              <w:t>Region participation in the total number of overnight stays</w:t>
            </w:r>
          </w:p>
        </w:tc>
      </w:tr>
      <w:tr w:rsidR="00D72225" w:rsidRPr="00092BBF" w:rsidTr="00AE5DAB">
        <w:trPr>
          <w:jc w:val="center"/>
        </w:trPr>
        <w:tc>
          <w:tcPr>
            <w:tcW w:w="616" w:type="dxa"/>
          </w:tcPr>
          <w:p w:rsidR="00D72225" w:rsidRPr="00092BBF" w:rsidRDefault="00D72225" w:rsidP="001A72C1">
            <w:pPr>
              <w:pStyle w:val="Default"/>
              <w:contextualSpacing/>
              <w:jc w:val="both"/>
              <w:rPr>
                <w:color w:val="auto"/>
                <w:sz w:val="20"/>
                <w:szCs w:val="20"/>
              </w:rPr>
            </w:pPr>
            <w:r w:rsidRPr="00092BBF">
              <w:rPr>
                <w:color w:val="auto"/>
                <w:sz w:val="20"/>
                <w:szCs w:val="20"/>
              </w:rPr>
              <w:t>2011</w:t>
            </w:r>
          </w:p>
        </w:tc>
        <w:tc>
          <w:tcPr>
            <w:tcW w:w="1102" w:type="dxa"/>
          </w:tcPr>
          <w:p w:rsidR="00D72225" w:rsidRPr="00092BBF" w:rsidRDefault="004F7EDE" w:rsidP="001A72C1">
            <w:pPr>
              <w:pStyle w:val="Default"/>
              <w:contextualSpacing/>
              <w:jc w:val="both"/>
              <w:rPr>
                <w:color w:val="auto"/>
                <w:sz w:val="20"/>
                <w:szCs w:val="20"/>
              </w:rPr>
            </w:pPr>
            <w:r w:rsidRPr="00092BBF">
              <w:rPr>
                <w:color w:val="auto"/>
                <w:sz w:val="20"/>
                <w:szCs w:val="20"/>
              </w:rPr>
              <w:t>2.068.610</w:t>
            </w:r>
          </w:p>
        </w:tc>
        <w:tc>
          <w:tcPr>
            <w:tcW w:w="1276" w:type="dxa"/>
          </w:tcPr>
          <w:p w:rsidR="00D72225" w:rsidRPr="00092BBF" w:rsidRDefault="004F7EDE" w:rsidP="001A72C1">
            <w:pPr>
              <w:pStyle w:val="Default"/>
              <w:contextualSpacing/>
              <w:jc w:val="both"/>
              <w:rPr>
                <w:color w:val="auto"/>
                <w:sz w:val="20"/>
                <w:szCs w:val="20"/>
              </w:rPr>
            </w:pPr>
            <w:r w:rsidRPr="00092BBF">
              <w:rPr>
                <w:color w:val="auto"/>
                <w:sz w:val="20"/>
                <w:szCs w:val="20"/>
              </w:rPr>
              <w:t>362.049</w:t>
            </w:r>
          </w:p>
        </w:tc>
        <w:tc>
          <w:tcPr>
            <w:tcW w:w="1984" w:type="dxa"/>
          </w:tcPr>
          <w:p w:rsidR="00D72225" w:rsidRPr="00092BBF" w:rsidRDefault="004F7EDE" w:rsidP="001A72C1">
            <w:pPr>
              <w:pStyle w:val="Default"/>
              <w:contextualSpacing/>
              <w:jc w:val="both"/>
              <w:rPr>
                <w:color w:val="auto"/>
                <w:sz w:val="20"/>
                <w:szCs w:val="20"/>
              </w:rPr>
            </w:pPr>
            <w:r w:rsidRPr="00092BBF">
              <w:rPr>
                <w:color w:val="auto"/>
                <w:sz w:val="20"/>
                <w:szCs w:val="20"/>
              </w:rPr>
              <w:t>17,5</w:t>
            </w:r>
            <w:r w:rsidR="002A22D2" w:rsidRPr="00092BBF">
              <w:rPr>
                <w:color w:val="auto"/>
                <w:sz w:val="20"/>
                <w:szCs w:val="20"/>
              </w:rPr>
              <w:t>%</w:t>
            </w:r>
          </w:p>
        </w:tc>
        <w:tc>
          <w:tcPr>
            <w:tcW w:w="1149" w:type="dxa"/>
          </w:tcPr>
          <w:p w:rsidR="00D72225" w:rsidRPr="00092BBF" w:rsidRDefault="004F7EDE" w:rsidP="001A72C1">
            <w:pPr>
              <w:pStyle w:val="Default"/>
              <w:contextualSpacing/>
              <w:jc w:val="both"/>
              <w:rPr>
                <w:color w:val="auto"/>
                <w:sz w:val="20"/>
                <w:szCs w:val="20"/>
              </w:rPr>
            </w:pPr>
            <w:r w:rsidRPr="00092BBF">
              <w:rPr>
                <w:color w:val="auto"/>
                <w:sz w:val="20"/>
                <w:szCs w:val="20"/>
              </w:rPr>
              <w:t>6.644.738</w:t>
            </w:r>
          </w:p>
        </w:tc>
        <w:tc>
          <w:tcPr>
            <w:tcW w:w="1417" w:type="dxa"/>
          </w:tcPr>
          <w:p w:rsidR="00D72225" w:rsidRPr="00092BBF" w:rsidRDefault="004F7EDE" w:rsidP="001A72C1">
            <w:pPr>
              <w:pStyle w:val="Default"/>
              <w:contextualSpacing/>
              <w:jc w:val="both"/>
              <w:rPr>
                <w:color w:val="auto"/>
                <w:sz w:val="20"/>
                <w:szCs w:val="20"/>
              </w:rPr>
            </w:pPr>
            <w:r w:rsidRPr="00092BBF">
              <w:rPr>
                <w:color w:val="auto"/>
                <w:sz w:val="20"/>
                <w:szCs w:val="20"/>
              </w:rPr>
              <w:t>1.350.521</w:t>
            </w:r>
          </w:p>
        </w:tc>
        <w:tc>
          <w:tcPr>
            <w:tcW w:w="1970" w:type="dxa"/>
          </w:tcPr>
          <w:p w:rsidR="00D72225" w:rsidRPr="00092BBF" w:rsidRDefault="004F7EDE" w:rsidP="001A72C1">
            <w:pPr>
              <w:pStyle w:val="Default"/>
              <w:contextualSpacing/>
              <w:jc w:val="both"/>
              <w:rPr>
                <w:color w:val="auto"/>
                <w:sz w:val="20"/>
                <w:szCs w:val="20"/>
              </w:rPr>
            </w:pPr>
            <w:r w:rsidRPr="00092BBF">
              <w:rPr>
                <w:color w:val="auto"/>
                <w:sz w:val="20"/>
                <w:szCs w:val="20"/>
              </w:rPr>
              <w:t>20,3</w:t>
            </w:r>
            <w:r w:rsidR="002A22D2" w:rsidRPr="00092BBF">
              <w:rPr>
                <w:color w:val="auto"/>
                <w:sz w:val="20"/>
                <w:szCs w:val="20"/>
              </w:rPr>
              <w:t>%</w:t>
            </w:r>
          </w:p>
        </w:tc>
      </w:tr>
      <w:tr w:rsidR="00D72225" w:rsidRPr="00092BBF" w:rsidTr="00AE5DAB">
        <w:trPr>
          <w:jc w:val="center"/>
        </w:trPr>
        <w:tc>
          <w:tcPr>
            <w:tcW w:w="616" w:type="dxa"/>
          </w:tcPr>
          <w:p w:rsidR="00D72225" w:rsidRPr="00092BBF" w:rsidRDefault="00D72225" w:rsidP="001A72C1">
            <w:pPr>
              <w:pStyle w:val="Default"/>
              <w:contextualSpacing/>
              <w:jc w:val="both"/>
              <w:rPr>
                <w:color w:val="auto"/>
                <w:sz w:val="20"/>
                <w:szCs w:val="20"/>
              </w:rPr>
            </w:pPr>
            <w:r w:rsidRPr="00092BBF">
              <w:rPr>
                <w:color w:val="auto"/>
                <w:sz w:val="20"/>
                <w:szCs w:val="20"/>
              </w:rPr>
              <w:t>2012</w:t>
            </w:r>
          </w:p>
        </w:tc>
        <w:tc>
          <w:tcPr>
            <w:tcW w:w="1102" w:type="dxa"/>
          </w:tcPr>
          <w:p w:rsidR="00D72225" w:rsidRPr="00092BBF" w:rsidRDefault="004F7EDE" w:rsidP="001A72C1">
            <w:pPr>
              <w:pStyle w:val="Default"/>
              <w:contextualSpacing/>
              <w:jc w:val="both"/>
              <w:rPr>
                <w:color w:val="auto"/>
                <w:sz w:val="20"/>
                <w:szCs w:val="20"/>
              </w:rPr>
            </w:pPr>
            <w:r w:rsidRPr="00092BBF">
              <w:rPr>
                <w:color w:val="auto"/>
                <w:sz w:val="20"/>
                <w:szCs w:val="20"/>
              </w:rPr>
              <w:t>2.079.643</w:t>
            </w:r>
          </w:p>
        </w:tc>
        <w:tc>
          <w:tcPr>
            <w:tcW w:w="1276" w:type="dxa"/>
          </w:tcPr>
          <w:p w:rsidR="00D72225" w:rsidRPr="00092BBF" w:rsidRDefault="004F7EDE" w:rsidP="001A72C1">
            <w:pPr>
              <w:pStyle w:val="Default"/>
              <w:contextualSpacing/>
              <w:jc w:val="both"/>
              <w:rPr>
                <w:color w:val="auto"/>
                <w:sz w:val="20"/>
                <w:szCs w:val="20"/>
              </w:rPr>
            </w:pPr>
            <w:r w:rsidRPr="00092BBF">
              <w:rPr>
                <w:color w:val="auto"/>
                <w:sz w:val="20"/>
                <w:szCs w:val="20"/>
              </w:rPr>
              <w:t>353.706</w:t>
            </w:r>
          </w:p>
        </w:tc>
        <w:tc>
          <w:tcPr>
            <w:tcW w:w="1984" w:type="dxa"/>
          </w:tcPr>
          <w:p w:rsidR="00D72225" w:rsidRPr="00092BBF" w:rsidRDefault="004F7EDE" w:rsidP="001A72C1">
            <w:pPr>
              <w:pStyle w:val="Default"/>
              <w:contextualSpacing/>
              <w:jc w:val="both"/>
              <w:rPr>
                <w:color w:val="auto"/>
                <w:sz w:val="20"/>
                <w:szCs w:val="20"/>
              </w:rPr>
            </w:pPr>
            <w:r w:rsidRPr="00092BBF">
              <w:rPr>
                <w:color w:val="auto"/>
                <w:sz w:val="20"/>
                <w:szCs w:val="20"/>
              </w:rPr>
              <w:t>17,0</w:t>
            </w:r>
            <w:r w:rsidR="002A22D2" w:rsidRPr="00092BBF">
              <w:rPr>
                <w:color w:val="auto"/>
                <w:sz w:val="20"/>
                <w:szCs w:val="20"/>
              </w:rPr>
              <w:t>%</w:t>
            </w:r>
          </w:p>
        </w:tc>
        <w:tc>
          <w:tcPr>
            <w:tcW w:w="1149" w:type="dxa"/>
          </w:tcPr>
          <w:p w:rsidR="00D72225" w:rsidRPr="00092BBF" w:rsidRDefault="004F7EDE" w:rsidP="001A72C1">
            <w:pPr>
              <w:pStyle w:val="Default"/>
              <w:contextualSpacing/>
              <w:jc w:val="both"/>
              <w:rPr>
                <w:color w:val="auto"/>
                <w:sz w:val="20"/>
                <w:szCs w:val="20"/>
              </w:rPr>
            </w:pPr>
            <w:r w:rsidRPr="00092BBF">
              <w:rPr>
                <w:color w:val="auto"/>
                <w:sz w:val="20"/>
                <w:szCs w:val="20"/>
              </w:rPr>
              <w:t>6.484.702</w:t>
            </w:r>
          </w:p>
        </w:tc>
        <w:tc>
          <w:tcPr>
            <w:tcW w:w="1417" w:type="dxa"/>
          </w:tcPr>
          <w:p w:rsidR="00D72225" w:rsidRPr="00092BBF" w:rsidRDefault="004F7EDE" w:rsidP="001A72C1">
            <w:pPr>
              <w:pStyle w:val="Default"/>
              <w:contextualSpacing/>
              <w:jc w:val="both"/>
              <w:rPr>
                <w:color w:val="auto"/>
                <w:sz w:val="20"/>
                <w:szCs w:val="20"/>
              </w:rPr>
            </w:pPr>
            <w:r w:rsidRPr="00092BBF">
              <w:rPr>
                <w:color w:val="auto"/>
                <w:sz w:val="20"/>
                <w:szCs w:val="20"/>
              </w:rPr>
              <w:t>1.315.434</w:t>
            </w:r>
          </w:p>
        </w:tc>
        <w:tc>
          <w:tcPr>
            <w:tcW w:w="1970" w:type="dxa"/>
          </w:tcPr>
          <w:p w:rsidR="00D72225" w:rsidRPr="00092BBF" w:rsidRDefault="004F7EDE" w:rsidP="001A72C1">
            <w:pPr>
              <w:pStyle w:val="Default"/>
              <w:contextualSpacing/>
              <w:jc w:val="both"/>
              <w:rPr>
                <w:color w:val="auto"/>
                <w:sz w:val="20"/>
                <w:szCs w:val="20"/>
              </w:rPr>
            </w:pPr>
            <w:r w:rsidRPr="00092BBF">
              <w:rPr>
                <w:color w:val="auto"/>
                <w:sz w:val="20"/>
                <w:szCs w:val="20"/>
              </w:rPr>
              <w:t>20,3</w:t>
            </w:r>
            <w:r w:rsidR="002A22D2" w:rsidRPr="00092BBF">
              <w:rPr>
                <w:color w:val="auto"/>
                <w:sz w:val="20"/>
                <w:szCs w:val="20"/>
              </w:rPr>
              <w:t>%</w:t>
            </w:r>
          </w:p>
        </w:tc>
      </w:tr>
      <w:tr w:rsidR="00D72225" w:rsidRPr="00092BBF" w:rsidTr="00AE5DAB">
        <w:trPr>
          <w:jc w:val="center"/>
        </w:trPr>
        <w:tc>
          <w:tcPr>
            <w:tcW w:w="616" w:type="dxa"/>
          </w:tcPr>
          <w:p w:rsidR="00D72225" w:rsidRPr="00092BBF" w:rsidRDefault="00D72225" w:rsidP="001A72C1">
            <w:pPr>
              <w:pStyle w:val="Default"/>
              <w:contextualSpacing/>
              <w:jc w:val="both"/>
              <w:rPr>
                <w:color w:val="auto"/>
                <w:sz w:val="20"/>
                <w:szCs w:val="20"/>
              </w:rPr>
            </w:pPr>
            <w:r w:rsidRPr="00092BBF">
              <w:rPr>
                <w:color w:val="auto"/>
                <w:sz w:val="20"/>
                <w:szCs w:val="20"/>
              </w:rPr>
              <w:t>2013</w:t>
            </w:r>
          </w:p>
        </w:tc>
        <w:tc>
          <w:tcPr>
            <w:tcW w:w="1102" w:type="dxa"/>
          </w:tcPr>
          <w:p w:rsidR="00D72225" w:rsidRPr="00092BBF" w:rsidRDefault="004F7EDE" w:rsidP="001A72C1">
            <w:pPr>
              <w:pStyle w:val="Default"/>
              <w:contextualSpacing/>
              <w:jc w:val="both"/>
              <w:rPr>
                <w:color w:val="auto"/>
                <w:sz w:val="20"/>
                <w:szCs w:val="20"/>
              </w:rPr>
            </w:pPr>
            <w:r w:rsidRPr="00092BBF">
              <w:rPr>
                <w:color w:val="auto"/>
                <w:sz w:val="20"/>
                <w:szCs w:val="20"/>
              </w:rPr>
              <w:t>2.192.435</w:t>
            </w:r>
          </w:p>
        </w:tc>
        <w:tc>
          <w:tcPr>
            <w:tcW w:w="1276" w:type="dxa"/>
          </w:tcPr>
          <w:p w:rsidR="00D72225" w:rsidRPr="00092BBF" w:rsidRDefault="004F7EDE" w:rsidP="001A72C1">
            <w:pPr>
              <w:pStyle w:val="Default"/>
              <w:contextualSpacing/>
              <w:jc w:val="both"/>
              <w:rPr>
                <w:color w:val="auto"/>
                <w:sz w:val="20"/>
                <w:szCs w:val="20"/>
              </w:rPr>
            </w:pPr>
            <w:r w:rsidRPr="00092BBF">
              <w:rPr>
                <w:color w:val="auto"/>
                <w:sz w:val="20"/>
                <w:szCs w:val="20"/>
              </w:rPr>
              <w:t>334.809</w:t>
            </w:r>
          </w:p>
        </w:tc>
        <w:tc>
          <w:tcPr>
            <w:tcW w:w="1984" w:type="dxa"/>
          </w:tcPr>
          <w:p w:rsidR="00D72225" w:rsidRPr="00092BBF" w:rsidRDefault="004F7EDE" w:rsidP="004F7EDE">
            <w:pPr>
              <w:pStyle w:val="Default"/>
              <w:contextualSpacing/>
              <w:jc w:val="both"/>
              <w:rPr>
                <w:color w:val="auto"/>
                <w:sz w:val="20"/>
                <w:szCs w:val="20"/>
              </w:rPr>
            </w:pPr>
            <w:r w:rsidRPr="00092BBF">
              <w:rPr>
                <w:color w:val="auto"/>
                <w:sz w:val="20"/>
                <w:szCs w:val="20"/>
              </w:rPr>
              <w:t>15,3</w:t>
            </w:r>
            <w:r w:rsidR="002A22D2" w:rsidRPr="00092BBF">
              <w:rPr>
                <w:color w:val="auto"/>
                <w:sz w:val="20"/>
                <w:szCs w:val="20"/>
              </w:rPr>
              <w:t>%</w:t>
            </w:r>
          </w:p>
        </w:tc>
        <w:tc>
          <w:tcPr>
            <w:tcW w:w="1149" w:type="dxa"/>
          </w:tcPr>
          <w:p w:rsidR="00D72225" w:rsidRPr="00092BBF" w:rsidRDefault="004F7EDE" w:rsidP="001A72C1">
            <w:pPr>
              <w:pStyle w:val="Default"/>
              <w:contextualSpacing/>
              <w:jc w:val="both"/>
              <w:rPr>
                <w:color w:val="auto"/>
                <w:sz w:val="20"/>
                <w:szCs w:val="20"/>
              </w:rPr>
            </w:pPr>
            <w:r w:rsidRPr="00092BBF">
              <w:rPr>
                <w:color w:val="auto"/>
                <w:sz w:val="20"/>
                <w:szCs w:val="20"/>
              </w:rPr>
              <w:t>6.567.460</w:t>
            </w:r>
          </w:p>
        </w:tc>
        <w:tc>
          <w:tcPr>
            <w:tcW w:w="1417" w:type="dxa"/>
          </w:tcPr>
          <w:p w:rsidR="00D72225" w:rsidRPr="00092BBF" w:rsidRDefault="004F7EDE" w:rsidP="001A72C1">
            <w:pPr>
              <w:pStyle w:val="Default"/>
              <w:contextualSpacing/>
              <w:jc w:val="both"/>
              <w:rPr>
                <w:color w:val="auto"/>
                <w:sz w:val="20"/>
                <w:szCs w:val="20"/>
              </w:rPr>
            </w:pPr>
            <w:r w:rsidRPr="00092BBF">
              <w:rPr>
                <w:color w:val="auto"/>
                <w:sz w:val="20"/>
                <w:szCs w:val="20"/>
              </w:rPr>
              <w:t>1.106.177</w:t>
            </w:r>
          </w:p>
        </w:tc>
        <w:tc>
          <w:tcPr>
            <w:tcW w:w="1970" w:type="dxa"/>
          </w:tcPr>
          <w:p w:rsidR="00D72225" w:rsidRPr="00092BBF" w:rsidRDefault="004F7EDE" w:rsidP="001A72C1">
            <w:pPr>
              <w:pStyle w:val="Default"/>
              <w:contextualSpacing/>
              <w:jc w:val="both"/>
              <w:rPr>
                <w:color w:val="auto"/>
                <w:sz w:val="20"/>
                <w:szCs w:val="20"/>
              </w:rPr>
            </w:pPr>
            <w:r w:rsidRPr="00092BBF">
              <w:rPr>
                <w:color w:val="auto"/>
                <w:sz w:val="20"/>
                <w:szCs w:val="20"/>
              </w:rPr>
              <w:t>16,8</w:t>
            </w:r>
            <w:r w:rsidR="002A22D2" w:rsidRPr="00092BBF">
              <w:rPr>
                <w:color w:val="auto"/>
                <w:sz w:val="20"/>
                <w:szCs w:val="20"/>
              </w:rPr>
              <w:t>%</w:t>
            </w:r>
          </w:p>
        </w:tc>
      </w:tr>
      <w:tr w:rsidR="00D72225" w:rsidRPr="00092BBF" w:rsidTr="00AE5DAB">
        <w:trPr>
          <w:jc w:val="center"/>
        </w:trPr>
        <w:tc>
          <w:tcPr>
            <w:tcW w:w="616" w:type="dxa"/>
          </w:tcPr>
          <w:p w:rsidR="00D72225" w:rsidRPr="00092BBF" w:rsidRDefault="00D72225" w:rsidP="001A72C1">
            <w:pPr>
              <w:pStyle w:val="Default"/>
              <w:contextualSpacing/>
              <w:jc w:val="both"/>
              <w:rPr>
                <w:color w:val="auto"/>
                <w:sz w:val="20"/>
                <w:szCs w:val="20"/>
              </w:rPr>
            </w:pPr>
            <w:r w:rsidRPr="00092BBF">
              <w:rPr>
                <w:color w:val="auto"/>
                <w:sz w:val="20"/>
                <w:szCs w:val="20"/>
              </w:rPr>
              <w:t>2014</w:t>
            </w:r>
          </w:p>
        </w:tc>
        <w:tc>
          <w:tcPr>
            <w:tcW w:w="1102" w:type="dxa"/>
          </w:tcPr>
          <w:p w:rsidR="00D72225" w:rsidRPr="00092BBF" w:rsidRDefault="004F7EDE" w:rsidP="001A72C1">
            <w:pPr>
              <w:pStyle w:val="Default"/>
              <w:contextualSpacing/>
              <w:jc w:val="both"/>
              <w:rPr>
                <w:color w:val="auto"/>
                <w:sz w:val="20"/>
                <w:szCs w:val="20"/>
              </w:rPr>
            </w:pPr>
            <w:r w:rsidRPr="00092BBF">
              <w:rPr>
                <w:color w:val="auto"/>
                <w:sz w:val="20"/>
                <w:szCs w:val="20"/>
              </w:rPr>
              <w:t>2.192.268</w:t>
            </w:r>
          </w:p>
        </w:tc>
        <w:tc>
          <w:tcPr>
            <w:tcW w:w="1276" w:type="dxa"/>
          </w:tcPr>
          <w:p w:rsidR="00D72225" w:rsidRPr="00092BBF" w:rsidRDefault="004F7EDE" w:rsidP="001A72C1">
            <w:pPr>
              <w:pStyle w:val="Default"/>
              <w:contextualSpacing/>
              <w:jc w:val="both"/>
              <w:rPr>
                <w:color w:val="auto"/>
                <w:sz w:val="20"/>
                <w:szCs w:val="20"/>
              </w:rPr>
            </w:pPr>
            <w:r w:rsidRPr="00092BBF">
              <w:rPr>
                <w:color w:val="auto"/>
                <w:sz w:val="20"/>
                <w:szCs w:val="20"/>
              </w:rPr>
              <w:t>329.529</w:t>
            </w:r>
          </w:p>
        </w:tc>
        <w:tc>
          <w:tcPr>
            <w:tcW w:w="1984" w:type="dxa"/>
          </w:tcPr>
          <w:p w:rsidR="00D72225" w:rsidRPr="00092BBF" w:rsidRDefault="004F7EDE" w:rsidP="001A72C1">
            <w:pPr>
              <w:pStyle w:val="Default"/>
              <w:contextualSpacing/>
              <w:jc w:val="both"/>
              <w:rPr>
                <w:color w:val="auto"/>
                <w:sz w:val="20"/>
                <w:szCs w:val="20"/>
              </w:rPr>
            </w:pPr>
            <w:r w:rsidRPr="00092BBF">
              <w:rPr>
                <w:color w:val="auto"/>
                <w:sz w:val="20"/>
                <w:szCs w:val="20"/>
              </w:rPr>
              <w:t>15,0</w:t>
            </w:r>
            <w:r w:rsidR="002A22D2" w:rsidRPr="00092BBF">
              <w:rPr>
                <w:color w:val="auto"/>
                <w:sz w:val="20"/>
                <w:szCs w:val="20"/>
              </w:rPr>
              <w:t>%</w:t>
            </w:r>
          </w:p>
        </w:tc>
        <w:tc>
          <w:tcPr>
            <w:tcW w:w="1149" w:type="dxa"/>
          </w:tcPr>
          <w:p w:rsidR="00D72225" w:rsidRPr="00092BBF" w:rsidRDefault="004F7EDE" w:rsidP="001A72C1">
            <w:pPr>
              <w:pStyle w:val="Default"/>
              <w:contextualSpacing/>
              <w:jc w:val="both"/>
              <w:rPr>
                <w:color w:val="auto"/>
                <w:sz w:val="20"/>
                <w:szCs w:val="20"/>
              </w:rPr>
            </w:pPr>
            <w:r w:rsidRPr="00092BBF">
              <w:rPr>
                <w:color w:val="auto"/>
                <w:sz w:val="20"/>
                <w:szCs w:val="20"/>
              </w:rPr>
              <w:t>6.086.275</w:t>
            </w:r>
          </w:p>
        </w:tc>
        <w:tc>
          <w:tcPr>
            <w:tcW w:w="1417" w:type="dxa"/>
          </w:tcPr>
          <w:p w:rsidR="00D72225" w:rsidRPr="00092BBF" w:rsidRDefault="00C02C4D" w:rsidP="001A72C1">
            <w:pPr>
              <w:pStyle w:val="Default"/>
              <w:contextualSpacing/>
              <w:jc w:val="both"/>
              <w:rPr>
                <w:color w:val="auto"/>
                <w:sz w:val="20"/>
                <w:szCs w:val="20"/>
              </w:rPr>
            </w:pPr>
            <w:r>
              <w:rPr>
                <w:color w:val="auto"/>
                <w:sz w:val="20"/>
                <w:szCs w:val="20"/>
              </w:rPr>
              <w:t xml:space="preserve">   </w:t>
            </w:r>
            <w:r w:rsidR="004F7EDE" w:rsidRPr="00092BBF">
              <w:rPr>
                <w:color w:val="auto"/>
                <w:sz w:val="20"/>
                <w:szCs w:val="20"/>
              </w:rPr>
              <w:t>995.948</w:t>
            </w:r>
          </w:p>
        </w:tc>
        <w:tc>
          <w:tcPr>
            <w:tcW w:w="1970" w:type="dxa"/>
          </w:tcPr>
          <w:p w:rsidR="00D72225" w:rsidRPr="00092BBF" w:rsidRDefault="004F7EDE" w:rsidP="001A72C1">
            <w:pPr>
              <w:pStyle w:val="Default"/>
              <w:contextualSpacing/>
              <w:jc w:val="both"/>
              <w:rPr>
                <w:color w:val="auto"/>
                <w:sz w:val="20"/>
                <w:szCs w:val="20"/>
              </w:rPr>
            </w:pPr>
            <w:r w:rsidRPr="00092BBF">
              <w:rPr>
                <w:color w:val="auto"/>
                <w:sz w:val="20"/>
                <w:szCs w:val="20"/>
              </w:rPr>
              <w:t>16,4</w:t>
            </w:r>
            <w:r w:rsidR="002A22D2" w:rsidRPr="00092BBF">
              <w:rPr>
                <w:color w:val="auto"/>
                <w:sz w:val="20"/>
                <w:szCs w:val="20"/>
              </w:rPr>
              <w:t>%</w:t>
            </w:r>
          </w:p>
        </w:tc>
      </w:tr>
      <w:tr w:rsidR="00D72225" w:rsidRPr="00092BBF" w:rsidTr="00AE5DAB">
        <w:trPr>
          <w:jc w:val="center"/>
        </w:trPr>
        <w:tc>
          <w:tcPr>
            <w:tcW w:w="616" w:type="dxa"/>
          </w:tcPr>
          <w:p w:rsidR="00D72225" w:rsidRPr="00092BBF" w:rsidRDefault="00D72225" w:rsidP="001A72C1">
            <w:pPr>
              <w:pStyle w:val="Default"/>
              <w:contextualSpacing/>
              <w:jc w:val="both"/>
              <w:rPr>
                <w:color w:val="auto"/>
                <w:sz w:val="20"/>
                <w:szCs w:val="20"/>
              </w:rPr>
            </w:pPr>
            <w:r w:rsidRPr="00092BBF">
              <w:rPr>
                <w:color w:val="auto"/>
                <w:sz w:val="20"/>
                <w:szCs w:val="20"/>
              </w:rPr>
              <w:t>2015</w:t>
            </w:r>
          </w:p>
        </w:tc>
        <w:tc>
          <w:tcPr>
            <w:tcW w:w="1102" w:type="dxa"/>
          </w:tcPr>
          <w:p w:rsidR="00D72225" w:rsidRPr="00092BBF" w:rsidRDefault="004F7EDE" w:rsidP="001A72C1">
            <w:pPr>
              <w:pStyle w:val="Default"/>
              <w:contextualSpacing/>
              <w:jc w:val="both"/>
              <w:rPr>
                <w:color w:val="auto"/>
                <w:sz w:val="20"/>
                <w:szCs w:val="20"/>
              </w:rPr>
            </w:pPr>
            <w:r w:rsidRPr="00092BBF">
              <w:rPr>
                <w:color w:val="auto"/>
                <w:sz w:val="20"/>
                <w:szCs w:val="20"/>
              </w:rPr>
              <w:t>2.437.165</w:t>
            </w:r>
          </w:p>
        </w:tc>
        <w:tc>
          <w:tcPr>
            <w:tcW w:w="1276" w:type="dxa"/>
          </w:tcPr>
          <w:p w:rsidR="00D72225" w:rsidRPr="00092BBF" w:rsidRDefault="004F7EDE" w:rsidP="001A72C1">
            <w:pPr>
              <w:pStyle w:val="Default"/>
              <w:contextualSpacing/>
              <w:jc w:val="both"/>
              <w:rPr>
                <w:color w:val="auto"/>
                <w:sz w:val="20"/>
                <w:szCs w:val="20"/>
              </w:rPr>
            </w:pPr>
            <w:r w:rsidRPr="00092BBF">
              <w:rPr>
                <w:color w:val="auto"/>
                <w:sz w:val="20"/>
                <w:szCs w:val="20"/>
              </w:rPr>
              <w:t>361.778</w:t>
            </w:r>
          </w:p>
        </w:tc>
        <w:tc>
          <w:tcPr>
            <w:tcW w:w="1984" w:type="dxa"/>
          </w:tcPr>
          <w:p w:rsidR="00D72225" w:rsidRPr="00092BBF" w:rsidRDefault="004F7EDE" w:rsidP="001A72C1">
            <w:pPr>
              <w:pStyle w:val="Default"/>
              <w:contextualSpacing/>
              <w:jc w:val="both"/>
              <w:rPr>
                <w:color w:val="auto"/>
                <w:sz w:val="20"/>
                <w:szCs w:val="20"/>
              </w:rPr>
            </w:pPr>
            <w:r w:rsidRPr="00092BBF">
              <w:rPr>
                <w:color w:val="auto"/>
                <w:sz w:val="20"/>
                <w:szCs w:val="20"/>
              </w:rPr>
              <w:t>14,8</w:t>
            </w:r>
            <w:r w:rsidR="002A22D2" w:rsidRPr="00092BBF">
              <w:rPr>
                <w:color w:val="auto"/>
                <w:sz w:val="20"/>
                <w:szCs w:val="20"/>
              </w:rPr>
              <w:t>%</w:t>
            </w:r>
          </w:p>
        </w:tc>
        <w:tc>
          <w:tcPr>
            <w:tcW w:w="1149" w:type="dxa"/>
          </w:tcPr>
          <w:p w:rsidR="00D72225" w:rsidRPr="00092BBF" w:rsidRDefault="004F7EDE" w:rsidP="001A72C1">
            <w:pPr>
              <w:pStyle w:val="Default"/>
              <w:contextualSpacing/>
              <w:jc w:val="both"/>
              <w:rPr>
                <w:color w:val="auto"/>
                <w:sz w:val="20"/>
                <w:szCs w:val="20"/>
              </w:rPr>
            </w:pPr>
            <w:r w:rsidRPr="00092BBF">
              <w:rPr>
                <w:color w:val="auto"/>
                <w:sz w:val="20"/>
                <w:szCs w:val="20"/>
              </w:rPr>
              <w:t>6.651.852</w:t>
            </w:r>
          </w:p>
        </w:tc>
        <w:tc>
          <w:tcPr>
            <w:tcW w:w="1417" w:type="dxa"/>
          </w:tcPr>
          <w:p w:rsidR="00D72225" w:rsidRPr="00092BBF" w:rsidRDefault="004F7EDE" w:rsidP="001A72C1">
            <w:pPr>
              <w:pStyle w:val="Default"/>
              <w:contextualSpacing/>
              <w:jc w:val="both"/>
              <w:rPr>
                <w:color w:val="auto"/>
                <w:sz w:val="20"/>
                <w:szCs w:val="20"/>
              </w:rPr>
            </w:pPr>
            <w:r w:rsidRPr="00092BBF">
              <w:rPr>
                <w:color w:val="auto"/>
                <w:sz w:val="20"/>
                <w:szCs w:val="20"/>
              </w:rPr>
              <w:t>1.066.998</w:t>
            </w:r>
          </w:p>
        </w:tc>
        <w:tc>
          <w:tcPr>
            <w:tcW w:w="1970" w:type="dxa"/>
          </w:tcPr>
          <w:p w:rsidR="00D72225" w:rsidRPr="00092BBF" w:rsidRDefault="002A22D2" w:rsidP="001A72C1">
            <w:pPr>
              <w:pStyle w:val="Default"/>
              <w:contextualSpacing/>
              <w:jc w:val="both"/>
              <w:rPr>
                <w:color w:val="auto"/>
                <w:sz w:val="20"/>
                <w:szCs w:val="20"/>
              </w:rPr>
            </w:pPr>
            <w:r w:rsidRPr="00092BBF">
              <w:rPr>
                <w:color w:val="auto"/>
                <w:sz w:val="20"/>
                <w:szCs w:val="20"/>
              </w:rPr>
              <w:t>16,0%</w:t>
            </w:r>
          </w:p>
        </w:tc>
      </w:tr>
    </w:tbl>
    <w:p w:rsidR="00D72225" w:rsidRPr="00092BBF" w:rsidRDefault="00D72225" w:rsidP="001A72C1">
      <w:pPr>
        <w:pStyle w:val="Default"/>
        <w:contextualSpacing/>
        <w:jc w:val="both"/>
        <w:rPr>
          <w:color w:val="auto"/>
          <w:sz w:val="20"/>
          <w:szCs w:val="20"/>
        </w:rPr>
      </w:pPr>
    </w:p>
    <w:p w:rsidR="009B4D36" w:rsidRPr="00092BBF" w:rsidRDefault="009B4D36" w:rsidP="001A72C1">
      <w:pPr>
        <w:pStyle w:val="Default"/>
        <w:contextualSpacing/>
        <w:jc w:val="both"/>
        <w:rPr>
          <w:color w:val="auto"/>
          <w:sz w:val="20"/>
          <w:szCs w:val="20"/>
        </w:rPr>
      </w:pPr>
      <w:r w:rsidRPr="00092BBF">
        <w:rPr>
          <w:color w:val="auto"/>
          <w:sz w:val="20"/>
          <w:szCs w:val="20"/>
        </w:rPr>
        <w:t xml:space="preserve">Table 9 </w:t>
      </w:r>
      <w:r w:rsidR="00075AB3" w:rsidRPr="00092BBF">
        <w:rPr>
          <w:color w:val="auto"/>
          <w:sz w:val="20"/>
          <w:szCs w:val="20"/>
        </w:rPr>
        <w:t>shows</w:t>
      </w:r>
      <w:r w:rsidRPr="00092BBF">
        <w:rPr>
          <w:color w:val="auto"/>
          <w:sz w:val="20"/>
          <w:szCs w:val="20"/>
        </w:rPr>
        <w:t xml:space="preserve"> an overview of the total number of tourist</w:t>
      </w:r>
      <w:r w:rsidR="00597FE0" w:rsidRPr="00092BBF">
        <w:rPr>
          <w:color w:val="auto"/>
          <w:sz w:val="20"/>
          <w:szCs w:val="20"/>
        </w:rPr>
        <w:t>s’</w:t>
      </w:r>
      <w:r w:rsidRPr="00092BBF">
        <w:rPr>
          <w:color w:val="auto"/>
          <w:sz w:val="20"/>
          <w:szCs w:val="20"/>
        </w:rPr>
        <w:t xml:space="preserve"> arrivals and </w:t>
      </w:r>
      <w:r w:rsidR="00075AB3" w:rsidRPr="00092BBF">
        <w:rPr>
          <w:color w:val="auto"/>
          <w:sz w:val="20"/>
          <w:szCs w:val="20"/>
        </w:rPr>
        <w:t>overnight stays</w:t>
      </w:r>
      <w:r w:rsidRPr="00092BBF">
        <w:rPr>
          <w:color w:val="auto"/>
          <w:sz w:val="20"/>
          <w:szCs w:val="20"/>
        </w:rPr>
        <w:t xml:space="preserve"> in the Republic of Serbia, the total number of tourist</w:t>
      </w:r>
      <w:r w:rsidR="00597FE0" w:rsidRPr="00092BBF">
        <w:rPr>
          <w:color w:val="auto"/>
          <w:sz w:val="20"/>
          <w:szCs w:val="20"/>
        </w:rPr>
        <w:t xml:space="preserve">s’ arrivals and tourists’ overnight stays </w:t>
      </w:r>
      <w:r w:rsidRPr="00092BBF">
        <w:rPr>
          <w:color w:val="auto"/>
          <w:sz w:val="20"/>
          <w:szCs w:val="20"/>
        </w:rPr>
        <w:t>in the region of South and East Serbia, as well as the percentage participation of the South and East Serbia region in the tourist</w:t>
      </w:r>
      <w:r w:rsidR="00597FE0" w:rsidRPr="00092BBF">
        <w:rPr>
          <w:color w:val="auto"/>
          <w:sz w:val="20"/>
          <w:szCs w:val="20"/>
        </w:rPr>
        <w:t>s’</w:t>
      </w:r>
      <w:r w:rsidRPr="00092BBF">
        <w:rPr>
          <w:color w:val="auto"/>
          <w:sz w:val="20"/>
          <w:szCs w:val="20"/>
        </w:rPr>
        <w:t xml:space="preserve"> traffic of the Republic of Serbia. Data refer to the period from </w:t>
      </w:r>
      <w:r w:rsidR="00075AB3" w:rsidRPr="00092BBF">
        <w:rPr>
          <w:color w:val="auto"/>
          <w:sz w:val="20"/>
          <w:szCs w:val="20"/>
        </w:rPr>
        <w:t xml:space="preserve">the </w:t>
      </w:r>
      <w:r w:rsidRPr="00092BBF">
        <w:rPr>
          <w:color w:val="auto"/>
          <w:sz w:val="20"/>
          <w:szCs w:val="20"/>
        </w:rPr>
        <w:t>2011</w:t>
      </w:r>
      <w:r w:rsidR="00075AB3" w:rsidRPr="00092BBF">
        <w:rPr>
          <w:color w:val="auto"/>
          <w:sz w:val="20"/>
          <w:szCs w:val="20"/>
        </w:rPr>
        <w:t>. until</w:t>
      </w:r>
      <w:r w:rsidRPr="00092BBF">
        <w:rPr>
          <w:color w:val="auto"/>
          <w:sz w:val="20"/>
          <w:szCs w:val="20"/>
        </w:rPr>
        <w:t xml:space="preserve"> 2015. Based on the data from the table, it can be noticed that the percentage share of tourism in the region of South and East Serbia in the total tourist turnover of the country is gradually decreasing in the observed period.</w:t>
      </w:r>
    </w:p>
    <w:p w:rsidR="002A22D2" w:rsidRPr="00092BBF" w:rsidRDefault="002A22D2" w:rsidP="001A72C1">
      <w:pPr>
        <w:pStyle w:val="Default"/>
        <w:contextualSpacing/>
        <w:jc w:val="both"/>
        <w:rPr>
          <w:color w:val="FF0000"/>
          <w:sz w:val="20"/>
          <w:szCs w:val="20"/>
        </w:rPr>
      </w:pPr>
    </w:p>
    <w:p w:rsidR="002A22D2" w:rsidRPr="00092BBF" w:rsidRDefault="002A22D2" w:rsidP="001A72C1">
      <w:pPr>
        <w:pStyle w:val="Default"/>
        <w:contextualSpacing/>
        <w:jc w:val="both"/>
        <w:rPr>
          <w:color w:val="auto"/>
          <w:sz w:val="20"/>
          <w:szCs w:val="20"/>
        </w:rPr>
      </w:pPr>
    </w:p>
    <w:p w:rsidR="008F1F15" w:rsidRPr="00092BBF" w:rsidRDefault="0086067E" w:rsidP="008F1F15">
      <w:pPr>
        <w:spacing w:after="0" w:line="240" w:lineRule="auto"/>
        <w:contextualSpacing/>
        <w:rPr>
          <w:rFonts w:ascii="Times New Roman" w:hAnsi="Times New Roman" w:cs="Times New Roman"/>
          <w:b/>
        </w:rPr>
      </w:pPr>
      <w:r w:rsidRPr="00092BBF">
        <w:rPr>
          <w:rFonts w:ascii="Times New Roman" w:hAnsi="Times New Roman" w:cs="Times New Roman"/>
          <w:b/>
        </w:rPr>
        <w:t>CONCLUSION</w:t>
      </w:r>
    </w:p>
    <w:p w:rsidR="008F1F15" w:rsidRPr="00092BBF" w:rsidRDefault="008F1F15" w:rsidP="001A72C1">
      <w:pPr>
        <w:pStyle w:val="Default"/>
        <w:contextualSpacing/>
        <w:jc w:val="both"/>
        <w:rPr>
          <w:color w:val="auto"/>
          <w:sz w:val="20"/>
          <w:szCs w:val="20"/>
        </w:rPr>
      </w:pPr>
    </w:p>
    <w:p w:rsidR="00F63D88" w:rsidRPr="00092BBF" w:rsidRDefault="00E95AFC" w:rsidP="00EE15EE">
      <w:pPr>
        <w:pStyle w:val="Default"/>
        <w:contextualSpacing/>
        <w:jc w:val="both"/>
        <w:rPr>
          <w:sz w:val="20"/>
          <w:szCs w:val="20"/>
        </w:rPr>
      </w:pPr>
      <w:r w:rsidRPr="00092BBF">
        <w:rPr>
          <w:color w:val="auto"/>
          <w:sz w:val="20"/>
          <w:szCs w:val="20"/>
        </w:rPr>
        <w:t>The fact is that the region of Southern and Eastern Serbia, thanks to its attractive geomorphologic values, favorable climate conditions, significant hydrological potential, diverse flora and fauna, rich cultural and historical heritage, ethnographic and manifestational tourist values, has the potential for develop various forms of tourism. However, this rich and diverse tourist potential is not sufficiently exploited.The region has comparative advantages for the development of tourism and a certain level of competitiveness. Comparative advantages, however, need to be transformed into competitive advantages.</w:t>
      </w:r>
      <w:r w:rsidR="00E44582" w:rsidRPr="00092BBF">
        <w:rPr>
          <w:color w:val="auto"/>
          <w:sz w:val="20"/>
          <w:szCs w:val="20"/>
        </w:rPr>
        <w:t>It is also necessary to improve the level of competitiveness of the region. It is very important to plan and implement certain activities in order to improve the quality of the tourist offer and increase the tourist traffic.These are the following activities:</w:t>
      </w:r>
      <w:r w:rsidR="00EE15EE" w:rsidRPr="00092BBF">
        <w:rPr>
          <w:color w:val="auto"/>
          <w:sz w:val="20"/>
          <w:szCs w:val="20"/>
        </w:rPr>
        <w:t xml:space="preserve"> </w:t>
      </w:r>
      <w:r w:rsidR="00E44582" w:rsidRPr="00092BBF">
        <w:rPr>
          <w:sz w:val="20"/>
          <w:szCs w:val="20"/>
        </w:rPr>
        <w:t>Implementation of programs for the protection of natural and anthropogenic tourist values;</w:t>
      </w:r>
      <w:r w:rsidR="00EE15EE" w:rsidRPr="00092BBF">
        <w:rPr>
          <w:sz w:val="20"/>
          <w:szCs w:val="20"/>
        </w:rPr>
        <w:t xml:space="preserve"> </w:t>
      </w:r>
      <w:r w:rsidR="00BF0C66" w:rsidRPr="00092BBF">
        <w:rPr>
          <w:sz w:val="20"/>
          <w:szCs w:val="20"/>
        </w:rPr>
        <w:t>Improvement of traffic and communal infrastructure, tourist infrastructure and suprastructure;</w:t>
      </w:r>
      <w:r w:rsidR="00EE15EE" w:rsidRPr="00092BBF">
        <w:rPr>
          <w:sz w:val="20"/>
          <w:szCs w:val="20"/>
        </w:rPr>
        <w:t xml:space="preserve"> </w:t>
      </w:r>
      <w:r w:rsidR="00BF0C66" w:rsidRPr="00092BBF">
        <w:rPr>
          <w:sz w:val="20"/>
          <w:szCs w:val="20"/>
        </w:rPr>
        <w:t>Improvement of tourist signaling;</w:t>
      </w:r>
      <w:r w:rsidR="00EE15EE" w:rsidRPr="00092BBF">
        <w:rPr>
          <w:sz w:val="20"/>
          <w:szCs w:val="20"/>
        </w:rPr>
        <w:t xml:space="preserve"> </w:t>
      </w:r>
      <w:r w:rsidR="00BF0C66" w:rsidRPr="00092BBF">
        <w:rPr>
          <w:sz w:val="20"/>
          <w:szCs w:val="20"/>
        </w:rPr>
        <w:t>Construction of new and renovation of existing accommodation capacities;</w:t>
      </w:r>
      <w:r w:rsidR="00EE15EE" w:rsidRPr="00092BBF">
        <w:rPr>
          <w:sz w:val="20"/>
          <w:szCs w:val="20"/>
        </w:rPr>
        <w:t xml:space="preserve"> </w:t>
      </w:r>
      <w:r w:rsidR="00BF0C66" w:rsidRPr="00092BBF">
        <w:rPr>
          <w:sz w:val="20"/>
          <w:szCs w:val="20"/>
        </w:rPr>
        <w:t>More intensive realization of promotional activities in the field of tourism;</w:t>
      </w:r>
      <w:r w:rsidR="00EE15EE" w:rsidRPr="00092BBF">
        <w:rPr>
          <w:sz w:val="20"/>
          <w:szCs w:val="20"/>
        </w:rPr>
        <w:t xml:space="preserve"> </w:t>
      </w:r>
      <w:r w:rsidR="00BF0C66" w:rsidRPr="00092BBF">
        <w:rPr>
          <w:sz w:val="20"/>
          <w:szCs w:val="20"/>
        </w:rPr>
        <w:t>Creating a positive image on the domestic and international tourist market</w:t>
      </w:r>
      <w:r w:rsidR="00F63D88" w:rsidRPr="00092BBF">
        <w:rPr>
          <w:sz w:val="20"/>
          <w:szCs w:val="20"/>
        </w:rPr>
        <w:t>;</w:t>
      </w:r>
      <w:r w:rsidR="00EE15EE" w:rsidRPr="00092BBF">
        <w:rPr>
          <w:sz w:val="20"/>
          <w:szCs w:val="20"/>
        </w:rPr>
        <w:t xml:space="preserve"> </w:t>
      </w:r>
      <w:r w:rsidR="00BF0C66" w:rsidRPr="00092BBF">
        <w:rPr>
          <w:sz w:val="20"/>
          <w:szCs w:val="20"/>
        </w:rPr>
        <w:t>Strengthening the awareness of the social community about protection of tourist values and the importance of tourism development;</w:t>
      </w:r>
      <w:r w:rsidR="00EE15EE" w:rsidRPr="00092BBF">
        <w:rPr>
          <w:sz w:val="20"/>
          <w:szCs w:val="20"/>
        </w:rPr>
        <w:t xml:space="preserve"> </w:t>
      </w:r>
      <w:r w:rsidR="00BF0C66" w:rsidRPr="00092BBF">
        <w:rPr>
          <w:sz w:val="20"/>
          <w:szCs w:val="20"/>
        </w:rPr>
        <w:t>Education of employees in the field of tourism.</w:t>
      </w:r>
      <w:r w:rsidR="00EE15EE" w:rsidRPr="00092BBF">
        <w:rPr>
          <w:sz w:val="20"/>
          <w:szCs w:val="20"/>
        </w:rPr>
        <w:t xml:space="preserve"> </w:t>
      </w:r>
      <w:r w:rsidR="00242994" w:rsidRPr="00092BBF">
        <w:rPr>
          <w:sz w:val="20"/>
          <w:szCs w:val="20"/>
        </w:rPr>
        <w:t>Development of tourism is one of the strategic goals for region development of Southern and Eastern Serbia</w:t>
      </w:r>
      <w:r w:rsidR="008F1F15" w:rsidRPr="00092BBF">
        <w:rPr>
          <w:sz w:val="20"/>
          <w:szCs w:val="20"/>
        </w:rPr>
        <w:t xml:space="preserve">. </w:t>
      </w:r>
      <w:r w:rsidR="00242994" w:rsidRPr="00092BBF">
        <w:rPr>
          <w:sz w:val="20"/>
          <w:szCs w:val="20"/>
        </w:rPr>
        <w:t>The current development of tourism in Southern and Eastern Serbia is not at a satisfactory level, in spite of the comparative advantages. The development of tourism in this re</w:t>
      </w:r>
      <w:r w:rsidR="00F13D2D" w:rsidRPr="00092BBF">
        <w:rPr>
          <w:sz w:val="20"/>
          <w:szCs w:val="20"/>
        </w:rPr>
        <w:t>gion requires the formulation</w:t>
      </w:r>
      <w:r w:rsidR="00242994" w:rsidRPr="00092BBF">
        <w:rPr>
          <w:sz w:val="20"/>
          <w:szCs w:val="20"/>
        </w:rPr>
        <w:t xml:space="preserve"> an appropriate development strategy, which will define the basic directions of tourism development, while respecting the principle of sustainability.In addition, the development of tourism requires the definition of concrete measures and activities for the realization of the set goals.</w:t>
      </w:r>
    </w:p>
    <w:p w:rsidR="001A72C1" w:rsidRPr="00092BBF" w:rsidRDefault="001A72C1" w:rsidP="001A72C1">
      <w:pPr>
        <w:spacing w:after="0" w:line="240" w:lineRule="auto"/>
        <w:contextualSpacing/>
        <w:rPr>
          <w:rFonts w:ascii="Times New Roman" w:hAnsi="Times New Roman" w:cs="Times New Roman"/>
          <w:sz w:val="20"/>
          <w:szCs w:val="20"/>
        </w:rPr>
      </w:pPr>
    </w:p>
    <w:p w:rsidR="00AE7197" w:rsidRPr="00092BBF" w:rsidRDefault="00AE7197" w:rsidP="001A72C1">
      <w:pPr>
        <w:spacing w:after="0" w:line="240" w:lineRule="auto"/>
        <w:contextualSpacing/>
        <w:rPr>
          <w:rFonts w:ascii="Times New Roman" w:hAnsi="Times New Roman" w:cs="Times New Roman"/>
          <w:sz w:val="20"/>
          <w:szCs w:val="20"/>
        </w:rPr>
      </w:pPr>
    </w:p>
    <w:p w:rsidR="00AA44B7" w:rsidRPr="00092BBF" w:rsidRDefault="00AA44B7" w:rsidP="001A72C1">
      <w:pPr>
        <w:spacing w:after="0" w:line="240" w:lineRule="auto"/>
        <w:contextualSpacing/>
        <w:rPr>
          <w:rFonts w:ascii="Times New Roman" w:hAnsi="Times New Roman" w:cs="Times New Roman"/>
          <w:sz w:val="20"/>
          <w:szCs w:val="20"/>
        </w:rPr>
      </w:pPr>
    </w:p>
    <w:p w:rsidR="00D0461C" w:rsidRPr="00092BBF" w:rsidRDefault="00D0461C" w:rsidP="00D0461C">
      <w:pPr>
        <w:ind w:right="-30"/>
        <w:contextualSpacing/>
        <w:rPr>
          <w:rFonts w:ascii="Times New Roman" w:hAnsi="Times New Roman" w:cs="Times New Roman"/>
          <w:b/>
        </w:rPr>
      </w:pPr>
      <w:r w:rsidRPr="00092BBF">
        <w:rPr>
          <w:rFonts w:ascii="Times New Roman" w:hAnsi="Times New Roman" w:cs="Times New Roman"/>
          <w:b/>
        </w:rPr>
        <w:t>REFERENCES</w:t>
      </w:r>
    </w:p>
    <w:p w:rsidR="00433443" w:rsidRPr="00092BBF" w:rsidRDefault="00433443" w:rsidP="001A72C1">
      <w:pPr>
        <w:spacing w:after="0" w:line="240" w:lineRule="auto"/>
        <w:contextualSpacing/>
        <w:rPr>
          <w:rFonts w:ascii="Times New Roman" w:hAnsi="Times New Roman" w:cs="Times New Roman"/>
          <w:sz w:val="20"/>
          <w:szCs w:val="20"/>
        </w:rPr>
      </w:pPr>
    </w:p>
    <w:p w:rsidR="0044095E" w:rsidRPr="00092BBF" w:rsidRDefault="0044095E"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sym w:font="Symbol" w:char="F05B"/>
      </w:r>
      <w:r w:rsidRPr="00092BBF">
        <w:rPr>
          <w:rFonts w:ascii="Times New Roman" w:hAnsi="Times New Roman" w:cs="Times New Roman"/>
          <w:sz w:val="20"/>
          <w:szCs w:val="20"/>
        </w:rPr>
        <w:t>1</w:t>
      </w:r>
      <w:r w:rsidRPr="00092BBF">
        <w:rPr>
          <w:rFonts w:ascii="Times New Roman" w:hAnsi="Times New Roman" w:cs="Times New Roman"/>
          <w:sz w:val="20"/>
          <w:szCs w:val="20"/>
        </w:rPr>
        <w:sym w:font="Symbol" w:char="F05D"/>
      </w:r>
      <w:r w:rsidRPr="00092BBF">
        <w:rPr>
          <w:rFonts w:ascii="Times New Roman" w:hAnsi="Times New Roman" w:cs="Times New Roman"/>
          <w:sz w:val="20"/>
          <w:szCs w:val="20"/>
        </w:rPr>
        <w:t xml:space="preserve"> Bjeljac, Ž., Brankov, J., Popović, I.: </w:t>
      </w:r>
      <w:r w:rsidRPr="00092BBF">
        <w:rPr>
          <w:rFonts w:ascii="Times New Roman" w:hAnsi="Times New Roman" w:cs="Times New Roman"/>
          <w:i/>
          <w:sz w:val="20"/>
          <w:szCs w:val="20"/>
        </w:rPr>
        <w:t>Turizam u nerazvijenim prostorima Srbije</w:t>
      </w:r>
      <w:r w:rsidRPr="00092BBF">
        <w:rPr>
          <w:rFonts w:ascii="Times New Roman" w:hAnsi="Times New Roman" w:cs="Times New Roman"/>
          <w:sz w:val="20"/>
          <w:szCs w:val="20"/>
        </w:rPr>
        <w:t>, Geografski institut „Jovan Cvijić“ SANU, 2009.</w:t>
      </w:r>
    </w:p>
    <w:p w:rsidR="00433443" w:rsidRPr="00092BBF" w:rsidRDefault="00433443" w:rsidP="00433443">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sym w:font="Symbol" w:char="F05B"/>
      </w:r>
      <w:r w:rsidR="0044095E" w:rsidRPr="00092BBF">
        <w:rPr>
          <w:rFonts w:ascii="Times New Roman" w:hAnsi="Times New Roman" w:cs="Times New Roman"/>
          <w:sz w:val="20"/>
          <w:szCs w:val="20"/>
        </w:rPr>
        <w:t>2</w:t>
      </w:r>
      <w:r w:rsidRPr="00092BBF">
        <w:rPr>
          <w:rFonts w:ascii="Times New Roman" w:hAnsi="Times New Roman" w:cs="Times New Roman"/>
          <w:sz w:val="20"/>
          <w:szCs w:val="20"/>
        </w:rPr>
        <w:sym w:font="Symbol" w:char="F05D"/>
      </w:r>
      <w:r w:rsidRPr="00092BBF">
        <w:rPr>
          <w:rFonts w:ascii="Times New Roman" w:hAnsi="Times New Roman" w:cs="Times New Roman"/>
          <w:sz w:val="20"/>
          <w:szCs w:val="20"/>
        </w:rPr>
        <w:t xml:space="preserve"> Štetić, S., Šimičević, D., Nicić, M.: </w:t>
      </w:r>
      <w:r w:rsidRPr="00092BBF">
        <w:rPr>
          <w:rFonts w:ascii="Times New Roman" w:hAnsi="Times New Roman" w:cs="Times New Roman"/>
          <w:i/>
          <w:sz w:val="20"/>
          <w:szCs w:val="20"/>
        </w:rPr>
        <w:t>Menadžment turističke destinacije</w:t>
      </w:r>
      <w:r w:rsidRPr="00092BBF">
        <w:rPr>
          <w:rFonts w:ascii="Times New Roman" w:hAnsi="Times New Roman" w:cs="Times New Roman"/>
          <w:sz w:val="20"/>
          <w:szCs w:val="20"/>
        </w:rPr>
        <w:t>, Srpsko geografsko društvo, ISBN 978-86-82751-30-4, Beograd, 2009.</w:t>
      </w:r>
    </w:p>
    <w:p w:rsidR="00433443" w:rsidRPr="00092BBF" w:rsidRDefault="00433443" w:rsidP="00433443">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sym w:font="Symbol" w:char="F05B"/>
      </w:r>
      <w:r w:rsidR="0044095E" w:rsidRPr="00092BBF">
        <w:rPr>
          <w:rFonts w:ascii="Times New Roman" w:hAnsi="Times New Roman" w:cs="Times New Roman"/>
          <w:sz w:val="20"/>
          <w:szCs w:val="20"/>
        </w:rPr>
        <w:t>3</w:t>
      </w:r>
      <w:r w:rsidRPr="00092BBF">
        <w:rPr>
          <w:rFonts w:ascii="Times New Roman" w:hAnsi="Times New Roman" w:cs="Times New Roman"/>
          <w:sz w:val="20"/>
          <w:szCs w:val="20"/>
        </w:rPr>
        <w:sym w:font="Symbol" w:char="F05D"/>
      </w:r>
      <w:r w:rsidRPr="00092BBF">
        <w:rPr>
          <w:rFonts w:ascii="Times New Roman" w:hAnsi="Times New Roman" w:cs="Times New Roman"/>
          <w:sz w:val="20"/>
          <w:szCs w:val="20"/>
        </w:rPr>
        <w:t xml:space="preserve"> Vukonić, B., Keča, K.: </w:t>
      </w:r>
      <w:r w:rsidRPr="00092BBF">
        <w:rPr>
          <w:rFonts w:ascii="Times New Roman" w:hAnsi="Times New Roman" w:cs="Times New Roman"/>
          <w:i/>
          <w:sz w:val="20"/>
          <w:szCs w:val="20"/>
        </w:rPr>
        <w:t>Turizam i razvoj: pojam, načela, postupci</w:t>
      </w:r>
      <w:r w:rsidRPr="00092BBF">
        <w:rPr>
          <w:rFonts w:ascii="Times New Roman" w:hAnsi="Times New Roman" w:cs="Times New Roman"/>
          <w:sz w:val="20"/>
          <w:szCs w:val="20"/>
        </w:rPr>
        <w:t>, Mikrorad i Ekonomski fakultet, ISBN 953-6286-49-1, Zagreb, 2001.</w:t>
      </w:r>
    </w:p>
    <w:p w:rsidR="0009245C" w:rsidRPr="000A2483" w:rsidRDefault="0009245C" w:rsidP="00433443">
      <w:pPr>
        <w:spacing w:after="0" w:line="240" w:lineRule="auto"/>
        <w:contextualSpacing/>
        <w:rPr>
          <w:rFonts w:ascii="Times New Roman" w:hAnsi="Times New Roman" w:cs="Times New Roman"/>
          <w:sz w:val="20"/>
          <w:szCs w:val="20"/>
          <w:lang w:val="de-DE"/>
        </w:rPr>
      </w:pPr>
      <w:r w:rsidRPr="00092BBF">
        <w:rPr>
          <w:rFonts w:ascii="Times New Roman" w:hAnsi="Times New Roman" w:cs="Times New Roman"/>
          <w:sz w:val="20"/>
          <w:szCs w:val="20"/>
        </w:rPr>
        <w:sym w:font="Symbol" w:char="F05B"/>
      </w:r>
      <w:r w:rsidRPr="000A2483">
        <w:rPr>
          <w:rFonts w:ascii="Times New Roman" w:hAnsi="Times New Roman" w:cs="Times New Roman"/>
          <w:sz w:val="20"/>
          <w:szCs w:val="20"/>
          <w:lang w:val="de-DE"/>
        </w:rPr>
        <w:t>4</w:t>
      </w:r>
      <w:r w:rsidRPr="00092BBF">
        <w:rPr>
          <w:rFonts w:ascii="Times New Roman" w:hAnsi="Times New Roman" w:cs="Times New Roman"/>
          <w:sz w:val="20"/>
          <w:szCs w:val="20"/>
        </w:rPr>
        <w:sym w:font="Symbol" w:char="F05D"/>
      </w:r>
      <w:r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Opštine i regioni u Republici Srbiji</w:t>
      </w:r>
      <w:r w:rsidRPr="000A2483">
        <w:rPr>
          <w:rFonts w:ascii="Times New Roman" w:hAnsi="Times New Roman" w:cs="Times New Roman"/>
          <w:sz w:val="20"/>
          <w:szCs w:val="20"/>
          <w:lang w:val="de-DE"/>
        </w:rPr>
        <w:t>, Republika Srbija, Republički zavod za statistiku, Beograd, 2014.</w:t>
      </w:r>
    </w:p>
    <w:p w:rsidR="0009245C" w:rsidRPr="000A2483" w:rsidRDefault="0009245C" w:rsidP="00433443">
      <w:pPr>
        <w:spacing w:after="0" w:line="240" w:lineRule="auto"/>
        <w:contextualSpacing/>
        <w:rPr>
          <w:rFonts w:ascii="Times New Roman" w:hAnsi="Times New Roman" w:cs="Times New Roman"/>
          <w:sz w:val="20"/>
          <w:szCs w:val="20"/>
          <w:lang w:val="de-DE"/>
        </w:rPr>
      </w:pPr>
      <w:r w:rsidRPr="00092BBF">
        <w:rPr>
          <w:rFonts w:ascii="Times New Roman" w:hAnsi="Times New Roman" w:cs="Times New Roman"/>
          <w:sz w:val="20"/>
          <w:szCs w:val="20"/>
        </w:rPr>
        <w:sym w:font="Symbol" w:char="F05B"/>
      </w:r>
      <w:r w:rsidRPr="000A2483">
        <w:rPr>
          <w:rFonts w:ascii="Times New Roman" w:hAnsi="Times New Roman" w:cs="Times New Roman"/>
          <w:sz w:val="20"/>
          <w:szCs w:val="20"/>
          <w:lang w:val="de-DE"/>
        </w:rPr>
        <w:t>5</w:t>
      </w:r>
      <w:r w:rsidRPr="00092BBF">
        <w:rPr>
          <w:rFonts w:ascii="Times New Roman" w:hAnsi="Times New Roman" w:cs="Times New Roman"/>
          <w:sz w:val="20"/>
          <w:szCs w:val="20"/>
        </w:rPr>
        <w:sym w:font="Symbol" w:char="F05D"/>
      </w:r>
      <w:r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Opštine i regioni u Republici Srbiji</w:t>
      </w:r>
      <w:r w:rsidRPr="000A2483">
        <w:rPr>
          <w:rFonts w:ascii="Times New Roman" w:hAnsi="Times New Roman" w:cs="Times New Roman"/>
          <w:sz w:val="20"/>
          <w:szCs w:val="20"/>
          <w:lang w:val="de-DE"/>
        </w:rPr>
        <w:t>, Republika Srbija, Republički zavod za statistiku, Beograd, 2015.</w:t>
      </w:r>
    </w:p>
    <w:p w:rsidR="0009245C" w:rsidRPr="000A2483" w:rsidRDefault="0009245C" w:rsidP="00433443">
      <w:pPr>
        <w:spacing w:after="0" w:line="240" w:lineRule="auto"/>
        <w:contextualSpacing/>
        <w:rPr>
          <w:rFonts w:ascii="Times New Roman" w:hAnsi="Times New Roman" w:cs="Times New Roman"/>
          <w:sz w:val="20"/>
          <w:szCs w:val="20"/>
          <w:lang w:val="de-DE"/>
        </w:rPr>
      </w:pPr>
      <w:r w:rsidRPr="00092BBF">
        <w:rPr>
          <w:rFonts w:ascii="Times New Roman" w:hAnsi="Times New Roman" w:cs="Times New Roman"/>
          <w:sz w:val="20"/>
          <w:szCs w:val="20"/>
        </w:rPr>
        <w:sym w:font="Symbol" w:char="F05B"/>
      </w:r>
      <w:r w:rsidRPr="000A2483">
        <w:rPr>
          <w:rFonts w:ascii="Times New Roman" w:hAnsi="Times New Roman" w:cs="Times New Roman"/>
          <w:sz w:val="20"/>
          <w:szCs w:val="20"/>
          <w:lang w:val="de-DE"/>
        </w:rPr>
        <w:t>6</w:t>
      </w:r>
      <w:r w:rsidRPr="00092BBF">
        <w:rPr>
          <w:rFonts w:ascii="Times New Roman" w:hAnsi="Times New Roman" w:cs="Times New Roman"/>
          <w:sz w:val="20"/>
          <w:szCs w:val="20"/>
        </w:rPr>
        <w:sym w:font="Symbol" w:char="F05D"/>
      </w:r>
      <w:r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Opštine i regioni u Republici Srbiji</w:t>
      </w:r>
      <w:r w:rsidRPr="000A2483">
        <w:rPr>
          <w:rFonts w:ascii="Times New Roman" w:hAnsi="Times New Roman" w:cs="Times New Roman"/>
          <w:sz w:val="20"/>
          <w:szCs w:val="20"/>
          <w:lang w:val="de-DE"/>
        </w:rPr>
        <w:t>, Republika Srbija, Republički zavod za statistiku, Beograd, 2016.</w:t>
      </w:r>
    </w:p>
    <w:p w:rsidR="00433443" w:rsidRPr="000A2483" w:rsidRDefault="00433443" w:rsidP="00433443">
      <w:pPr>
        <w:spacing w:after="0" w:line="240" w:lineRule="auto"/>
        <w:contextualSpacing/>
        <w:rPr>
          <w:sz w:val="20"/>
          <w:szCs w:val="20"/>
          <w:lang w:val="de-DE"/>
        </w:rPr>
      </w:pPr>
      <w:r w:rsidRPr="00092BBF">
        <w:rPr>
          <w:rFonts w:ascii="Times New Roman" w:hAnsi="Times New Roman" w:cs="Times New Roman"/>
          <w:sz w:val="20"/>
          <w:szCs w:val="20"/>
        </w:rPr>
        <w:sym w:font="Symbol" w:char="F05B"/>
      </w:r>
      <w:r w:rsidR="0009245C" w:rsidRPr="000A2483">
        <w:rPr>
          <w:rFonts w:ascii="Times New Roman" w:hAnsi="Times New Roman" w:cs="Times New Roman"/>
          <w:sz w:val="20"/>
          <w:szCs w:val="20"/>
          <w:lang w:val="de-DE"/>
        </w:rPr>
        <w:t>7</w:t>
      </w:r>
      <w:r w:rsidRPr="00092BBF">
        <w:rPr>
          <w:rFonts w:ascii="Times New Roman" w:hAnsi="Times New Roman" w:cs="Times New Roman"/>
          <w:sz w:val="20"/>
          <w:szCs w:val="20"/>
        </w:rPr>
        <w:sym w:font="Symbol" w:char="F05D"/>
      </w:r>
      <w:r w:rsidR="0009245C"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Republički zavod za statitstiku – Republika Srbija</w:t>
      </w:r>
      <w:r w:rsidRPr="000A2483">
        <w:rPr>
          <w:rFonts w:ascii="Times New Roman" w:hAnsi="Times New Roman" w:cs="Times New Roman"/>
          <w:sz w:val="20"/>
          <w:szCs w:val="20"/>
          <w:lang w:val="de-DE"/>
        </w:rPr>
        <w:t xml:space="preserve">, </w:t>
      </w:r>
      <w:r w:rsidR="00D0461C" w:rsidRPr="000A2483">
        <w:rPr>
          <w:rFonts w:ascii="Times New Roman" w:hAnsi="Times New Roman" w:cs="Times New Roman"/>
          <w:sz w:val="20"/>
          <w:szCs w:val="20"/>
          <w:lang w:val="de-DE"/>
        </w:rPr>
        <w:t xml:space="preserve">Available at </w:t>
      </w:r>
      <w:r w:rsidRPr="000A2483">
        <w:rPr>
          <w:rFonts w:ascii="Times New Roman" w:hAnsi="Times New Roman"/>
          <w:sz w:val="20"/>
          <w:szCs w:val="20"/>
          <w:lang w:val="de-DE"/>
        </w:rPr>
        <w:t>http://www.stat.gov.rs</w:t>
      </w:r>
    </w:p>
    <w:p w:rsidR="00433443" w:rsidRPr="000A2483" w:rsidRDefault="00433443" w:rsidP="00433443">
      <w:pPr>
        <w:spacing w:after="0" w:line="240" w:lineRule="auto"/>
        <w:contextualSpacing/>
        <w:rPr>
          <w:rFonts w:ascii="Times New Roman" w:hAnsi="Times New Roman" w:cs="Times New Roman"/>
          <w:sz w:val="20"/>
          <w:szCs w:val="20"/>
          <w:lang w:val="de-DE"/>
        </w:rPr>
      </w:pPr>
      <w:r w:rsidRPr="00092BBF">
        <w:rPr>
          <w:rFonts w:ascii="Times New Roman" w:hAnsi="Times New Roman" w:cs="Times New Roman"/>
          <w:sz w:val="20"/>
          <w:szCs w:val="20"/>
        </w:rPr>
        <w:sym w:font="Symbol" w:char="F05B"/>
      </w:r>
      <w:r w:rsidR="0009245C" w:rsidRPr="000A2483">
        <w:rPr>
          <w:rFonts w:ascii="Times New Roman" w:hAnsi="Times New Roman" w:cs="Times New Roman"/>
          <w:sz w:val="20"/>
          <w:szCs w:val="20"/>
          <w:lang w:val="de-DE"/>
        </w:rPr>
        <w:t>8</w:t>
      </w:r>
      <w:r w:rsidRPr="00092BBF">
        <w:rPr>
          <w:rFonts w:ascii="Times New Roman" w:hAnsi="Times New Roman" w:cs="Times New Roman"/>
          <w:sz w:val="20"/>
          <w:szCs w:val="20"/>
        </w:rPr>
        <w:sym w:font="Symbol" w:char="F05D"/>
      </w:r>
      <w:r w:rsidR="0009245C"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Statistički godišnjak Republike Srbije</w:t>
      </w:r>
      <w:r w:rsidRPr="000A2483">
        <w:rPr>
          <w:rFonts w:ascii="Times New Roman" w:hAnsi="Times New Roman" w:cs="Times New Roman"/>
          <w:sz w:val="20"/>
          <w:szCs w:val="20"/>
          <w:lang w:val="de-DE"/>
        </w:rPr>
        <w:t xml:space="preserve">, Republički zavod za statistiku, Beograd, 2016, </w:t>
      </w:r>
      <w:r w:rsidR="00D0461C" w:rsidRPr="000A2483">
        <w:rPr>
          <w:rFonts w:ascii="Times New Roman" w:hAnsi="Times New Roman" w:cs="Times New Roman"/>
          <w:sz w:val="20"/>
          <w:szCs w:val="20"/>
          <w:lang w:val="de-DE"/>
        </w:rPr>
        <w:t xml:space="preserve">Available at </w:t>
      </w:r>
      <w:r w:rsidRPr="000A2483">
        <w:rPr>
          <w:rFonts w:ascii="Times New Roman" w:hAnsi="Times New Roman" w:cs="Times New Roman"/>
          <w:sz w:val="20"/>
          <w:szCs w:val="20"/>
          <w:lang w:val="de-DE"/>
        </w:rPr>
        <w:t>http://pod2.stat.gov.rs/ObjavljenePublikacije/G2016/pdf/G20162019.pdf</w:t>
      </w:r>
    </w:p>
    <w:p w:rsidR="00433443" w:rsidRPr="000A2483" w:rsidRDefault="00433443" w:rsidP="00433443">
      <w:pPr>
        <w:spacing w:after="0" w:line="240" w:lineRule="auto"/>
        <w:contextualSpacing/>
        <w:rPr>
          <w:sz w:val="20"/>
          <w:szCs w:val="20"/>
          <w:lang w:val="de-DE"/>
        </w:rPr>
      </w:pPr>
      <w:r w:rsidRPr="00092BBF">
        <w:rPr>
          <w:rFonts w:ascii="Times New Roman" w:hAnsi="Times New Roman" w:cs="Times New Roman"/>
          <w:sz w:val="20"/>
          <w:szCs w:val="20"/>
        </w:rPr>
        <w:sym w:font="Symbol" w:char="F05B"/>
      </w:r>
      <w:r w:rsidR="0009245C" w:rsidRPr="000A2483">
        <w:rPr>
          <w:rFonts w:ascii="Times New Roman" w:hAnsi="Times New Roman" w:cs="Times New Roman"/>
          <w:sz w:val="20"/>
          <w:szCs w:val="20"/>
          <w:lang w:val="de-DE"/>
        </w:rPr>
        <w:t>9</w:t>
      </w:r>
      <w:r w:rsidRPr="00092BBF">
        <w:rPr>
          <w:rFonts w:ascii="Times New Roman" w:hAnsi="Times New Roman" w:cs="Times New Roman"/>
          <w:sz w:val="20"/>
          <w:szCs w:val="20"/>
        </w:rPr>
        <w:sym w:font="Symbol" w:char="F05D"/>
      </w:r>
      <w:r w:rsidR="0009245C" w:rsidRPr="000A2483">
        <w:rPr>
          <w:rFonts w:ascii="Times New Roman" w:hAnsi="Times New Roman" w:cs="Times New Roman"/>
          <w:sz w:val="20"/>
          <w:szCs w:val="20"/>
          <w:lang w:val="de-DE"/>
        </w:rPr>
        <w:t xml:space="preserve"> </w:t>
      </w:r>
      <w:r w:rsidRPr="000A2483">
        <w:rPr>
          <w:rFonts w:ascii="Times New Roman" w:hAnsi="Times New Roman" w:cs="Times New Roman"/>
          <w:i/>
          <w:sz w:val="20"/>
          <w:szCs w:val="20"/>
          <w:lang w:val="de-DE"/>
        </w:rPr>
        <w:t>Strategija razvoja turizma Republike Srbije za period 2016. – 2025</w:t>
      </w:r>
      <w:r w:rsidRPr="000A2483">
        <w:rPr>
          <w:rFonts w:ascii="Times New Roman" w:hAnsi="Times New Roman" w:cs="Times New Roman"/>
          <w:sz w:val="20"/>
          <w:szCs w:val="20"/>
          <w:lang w:val="de-DE"/>
        </w:rPr>
        <w:t>., Vlada Republike Srbije, Ministarstvo trgovine, turizma i telekomunikacija, Beograd.</w:t>
      </w:r>
    </w:p>
    <w:p w:rsidR="00433443" w:rsidRPr="00092BBF" w:rsidRDefault="00433443" w:rsidP="00433443">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sym w:font="Symbol" w:char="F05B"/>
      </w:r>
      <w:r w:rsidR="0009245C" w:rsidRPr="00092BBF">
        <w:rPr>
          <w:rFonts w:ascii="Times New Roman" w:hAnsi="Times New Roman" w:cs="Times New Roman"/>
          <w:sz w:val="20"/>
          <w:szCs w:val="20"/>
        </w:rPr>
        <w:t>10</w:t>
      </w:r>
      <w:r w:rsidRPr="00092BBF">
        <w:rPr>
          <w:rFonts w:ascii="Times New Roman" w:hAnsi="Times New Roman" w:cs="Times New Roman"/>
          <w:sz w:val="20"/>
          <w:szCs w:val="20"/>
        </w:rPr>
        <w:sym w:font="Symbol" w:char="F05D"/>
      </w:r>
      <w:r w:rsidR="0009245C" w:rsidRPr="00092BBF">
        <w:rPr>
          <w:rFonts w:ascii="Times New Roman" w:hAnsi="Times New Roman" w:cs="Times New Roman"/>
          <w:sz w:val="20"/>
          <w:szCs w:val="20"/>
        </w:rPr>
        <w:t xml:space="preserve"> </w:t>
      </w:r>
      <w:r w:rsidRPr="00092BBF">
        <w:rPr>
          <w:rFonts w:ascii="Times New Roman" w:hAnsi="Times New Roman" w:cs="Times New Roman"/>
          <w:i/>
          <w:sz w:val="20"/>
          <w:szCs w:val="20"/>
        </w:rPr>
        <w:t>Uredba o nomenklaturi statističkih teritorijalnih jedinica</w:t>
      </w:r>
      <w:r w:rsidRPr="00092BBF">
        <w:rPr>
          <w:rFonts w:ascii="Times New Roman" w:hAnsi="Times New Roman" w:cs="Times New Roman"/>
          <w:sz w:val="20"/>
          <w:szCs w:val="20"/>
        </w:rPr>
        <w:t xml:space="preserve"> (‘’Sl. Glasnik RS’’, br. 109/2009 i 46/2010)</w:t>
      </w:r>
    </w:p>
    <w:p w:rsidR="004D5F71" w:rsidRPr="00092BBF" w:rsidRDefault="00AC1BDF" w:rsidP="001A72C1">
      <w:pPr>
        <w:spacing w:after="0" w:line="240" w:lineRule="auto"/>
        <w:contextualSpacing/>
        <w:rPr>
          <w:sz w:val="20"/>
          <w:szCs w:val="20"/>
        </w:rPr>
      </w:pPr>
      <w:r w:rsidRPr="00092BBF">
        <w:rPr>
          <w:rFonts w:ascii="Times New Roman" w:hAnsi="Times New Roman" w:cs="Times New Roman"/>
          <w:sz w:val="20"/>
          <w:szCs w:val="20"/>
        </w:rPr>
        <w:sym w:font="Symbol" w:char="F05B"/>
      </w:r>
      <w:r w:rsidR="0009245C" w:rsidRPr="00092BBF">
        <w:rPr>
          <w:rFonts w:ascii="Times New Roman" w:hAnsi="Times New Roman" w:cs="Times New Roman"/>
          <w:sz w:val="20"/>
          <w:szCs w:val="20"/>
        </w:rPr>
        <w:t>11</w:t>
      </w:r>
      <w:r w:rsidRPr="00092BBF">
        <w:rPr>
          <w:rFonts w:ascii="Times New Roman" w:hAnsi="Times New Roman" w:cs="Times New Roman"/>
          <w:sz w:val="20"/>
          <w:szCs w:val="20"/>
        </w:rPr>
        <w:sym w:font="Symbol" w:char="F05D"/>
      </w:r>
      <w:r w:rsidR="0009245C" w:rsidRPr="00092BBF">
        <w:rPr>
          <w:rFonts w:ascii="Times New Roman" w:hAnsi="Times New Roman" w:cs="Times New Roman"/>
          <w:sz w:val="20"/>
          <w:szCs w:val="20"/>
        </w:rPr>
        <w:t xml:space="preserve"> </w:t>
      </w:r>
      <w:r w:rsidR="004D5F71" w:rsidRPr="00092BBF">
        <w:rPr>
          <w:rFonts w:ascii="Times New Roman" w:hAnsi="Times New Roman" w:cs="Times New Roman"/>
          <w:i/>
          <w:sz w:val="20"/>
          <w:szCs w:val="20"/>
        </w:rPr>
        <w:t>Etno Srbija</w:t>
      </w:r>
      <w:r w:rsidR="00433443" w:rsidRPr="00092BBF">
        <w:rPr>
          <w:rFonts w:ascii="Times New Roman" w:hAnsi="Times New Roman" w:cs="Times New Roman"/>
          <w:sz w:val="20"/>
          <w:szCs w:val="20"/>
        </w:rPr>
        <w:t xml:space="preserve">, </w:t>
      </w:r>
      <w:r w:rsidR="00D0461C" w:rsidRPr="00092BBF">
        <w:rPr>
          <w:rFonts w:ascii="Times New Roman" w:hAnsi="Times New Roman" w:cs="Times New Roman"/>
          <w:sz w:val="20"/>
          <w:szCs w:val="20"/>
        </w:rPr>
        <w:t xml:space="preserve">Available at </w:t>
      </w:r>
      <w:r w:rsidR="004D5F71" w:rsidRPr="00092BBF">
        <w:rPr>
          <w:rFonts w:ascii="Times New Roman" w:hAnsi="Times New Roman"/>
          <w:sz w:val="20"/>
          <w:szCs w:val="20"/>
        </w:rPr>
        <w:t>http://etnosrbija.org/brand/category/okruzi/juzna-i-istocna-srbija</w:t>
      </w:r>
      <w:r w:rsidR="004D5F71" w:rsidRPr="00092BBF">
        <w:rPr>
          <w:sz w:val="20"/>
          <w:szCs w:val="20"/>
        </w:rPr>
        <w:t>7</w:t>
      </w:r>
    </w:p>
    <w:p w:rsidR="004D5F71" w:rsidRPr="00092BBF" w:rsidRDefault="004D5F71" w:rsidP="001A72C1">
      <w:pPr>
        <w:spacing w:after="0" w:line="240" w:lineRule="auto"/>
        <w:contextualSpacing/>
        <w:rPr>
          <w:rFonts w:ascii="Times New Roman" w:hAnsi="Times New Roman" w:cs="Times New Roman"/>
          <w:sz w:val="20"/>
          <w:szCs w:val="20"/>
        </w:rPr>
      </w:pPr>
      <w:r w:rsidRPr="00092BBF">
        <w:rPr>
          <w:rFonts w:ascii="Times New Roman" w:hAnsi="Times New Roman" w:cs="Times New Roman"/>
          <w:sz w:val="20"/>
          <w:szCs w:val="20"/>
        </w:rPr>
        <w:sym w:font="Symbol" w:char="F05B"/>
      </w:r>
      <w:r w:rsidR="0009245C" w:rsidRPr="00092BBF">
        <w:rPr>
          <w:rFonts w:ascii="Times New Roman" w:hAnsi="Times New Roman" w:cs="Times New Roman"/>
          <w:sz w:val="20"/>
          <w:szCs w:val="20"/>
        </w:rPr>
        <w:t xml:space="preserve">12 </w:t>
      </w:r>
      <w:r w:rsidRPr="00092BBF">
        <w:rPr>
          <w:rFonts w:ascii="Times New Roman" w:hAnsi="Times New Roman" w:cs="Times New Roman"/>
          <w:sz w:val="20"/>
          <w:szCs w:val="20"/>
        </w:rPr>
        <w:sym w:font="Symbol" w:char="F05D"/>
      </w:r>
      <w:r w:rsidR="0009245C" w:rsidRPr="00092BBF">
        <w:rPr>
          <w:rFonts w:ascii="Times New Roman" w:hAnsi="Times New Roman" w:cs="Times New Roman"/>
          <w:sz w:val="20"/>
          <w:szCs w:val="20"/>
        </w:rPr>
        <w:t xml:space="preserve"> </w:t>
      </w:r>
      <w:hyperlink r:id="rId13" w:history="1">
        <w:r w:rsidRPr="00092BBF">
          <w:rPr>
            <w:rStyle w:val="Hyperlink"/>
            <w:rFonts w:ascii="Times New Roman" w:hAnsi="Times New Roman"/>
            <w:color w:val="auto"/>
            <w:sz w:val="20"/>
            <w:szCs w:val="20"/>
          </w:rPr>
          <w:t>http://www.serbia-visit.com</w:t>
        </w:r>
      </w:hyperlink>
    </w:p>
    <w:sectPr w:rsidR="004D5F71" w:rsidRPr="00092BBF" w:rsidSect="007B49F4">
      <w:headerReference w:type="default" r:id="rId14"/>
      <w:footerReference w:type="default" r:id="rId15"/>
      <w:pgSz w:w="11907" w:h="16840" w:code="9"/>
      <w:pgMar w:top="1134" w:right="1134" w:bottom="1134" w:left="1134" w:header="709" w:footer="709"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71" w:rsidRDefault="00B82671" w:rsidP="000A2483">
      <w:pPr>
        <w:spacing w:after="0" w:line="240" w:lineRule="auto"/>
      </w:pPr>
      <w:r>
        <w:separator/>
      </w:r>
    </w:p>
  </w:endnote>
  <w:endnote w:type="continuationSeparator" w:id="1">
    <w:p w:rsidR="00B82671" w:rsidRDefault="00B82671" w:rsidP="000A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0A2483" w:rsidRPr="000A2483" w:rsidTr="00A92D13">
      <w:trPr>
        <w:trHeight w:val="100"/>
      </w:trPr>
      <w:tc>
        <w:tcPr>
          <w:tcW w:w="9639" w:type="dxa"/>
        </w:tcPr>
        <w:p w:rsidR="000A2483" w:rsidRPr="000A2483" w:rsidRDefault="000A2483" w:rsidP="00A92D13">
          <w:pPr>
            <w:pStyle w:val="Footer"/>
            <w:jc w:val="right"/>
            <w:rPr>
              <w:rFonts w:ascii="Times New Roman" w:hAnsi="Times New Roman" w:cs="Times New Roman"/>
            </w:rPr>
          </w:pPr>
          <w:r w:rsidRPr="000A2483">
            <w:rPr>
              <w:rFonts w:ascii="Times New Roman" w:hAnsi="Times New Roman" w:cs="Times New Roman"/>
            </w:rPr>
            <w:t xml:space="preserve">9 - </w:t>
          </w:r>
          <w:r w:rsidR="00EB2D4D" w:rsidRPr="000A2483">
            <w:rPr>
              <w:rFonts w:ascii="Times New Roman" w:hAnsi="Times New Roman" w:cs="Times New Roman"/>
            </w:rPr>
            <w:fldChar w:fldCharType="begin"/>
          </w:r>
          <w:r w:rsidRPr="000A2483">
            <w:rPr>
              <w:rFonts w:ascii="Times New Roman" w:hAnsi="Times New Roman" w:cs="Times New Roman"/>
            </w:rPr>
            <w:instrText xml:space="preserve"> PAGE   \* MERGEFORMAT </w:instrText>
          </w:r>
          <w:r w:rsidR="00EB2D4D" w:rsidRPr="000A2483">
            <w:rPr>
              <w:rFonts w:ascii="Times New Roman" w:hAnsi="Times New Roman" w:cs="Times New Roman"/>
            </w:rPr>
            <w:fldChar w:fldCharType="separate"/>
          </w:r>
          <w:r w:rsidR="00B82671">
            <w:rPr>
              <w:rFonts w:ascii="Times New Roman" w:hAnsi="Times New Roman" w:cs="Times New Roman"/>
              <w:noProof/>
            </w:rPr>
            <w:t>18</w:t>
          </w:r>
          <w:r w:rsidR="00EB2D4D" w:rsidRPr="000A2483">
            <w:rPr>
              <w:rFonts w:ascii="Times New Roman" w:hAnsi="Times New Roman" w:cs="Times New Roman"/>
            </w:rPr>
            <w:fldChar w:fldCharType="end"/>
          </w:r>
        </w:p>
      </w:tc>
    </w:tr>
  </w:tbl>
  <w:p w:rsidR="000A2483" w:rsidRPr="000A2483" w:rsidRDefault="000A2483" w:rsidP="000A2483">
    <w:pPr>
      <w:pStyle w:val="Footer"/>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71" w:rsidRDefault="00B82671" w:rsidP="000A2483">
      <w:pPr>
        <w:spacing w:after="0" w:line="240" w:lineRule="auto"/>
      </w:pPr>
      <w:r>
        <w:separator/>
      </w:r>
    </w:p>
  </w:footnote>
  <w:footnote w:type="continuationSeparator" w:id="1">
    <w:p w:rsidR="00B82671" w:rsidRDefault="00B82671" w:rsidP="000A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83" w:rsidRDefault="00EB2D4D" w:rsidP="000A2483">
    <w:pPr>
      <w:pStyle w:val="Header"/>
    </w:pPr>
    <w:r w:rsidRPr="00EB2D4D">
      <w:rPr>
        <w:noProof/>
        <w:lang w:val="sr-Latn-CS" w:eastAsia="en-GB"/>
      </w:rPr>
      <w:pict>
        <v:group id="Group 1" o:spid="_x0000_s7169" style="position:absolute;left:0;text-align:left;margin-left:1.35pt;margin-top:-32.15pt;width:478.5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717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717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A2483" w:rsidRDefault="000A2483" w:rsidP="000A2483"/>
              </w:txbxContent>
            </v:textbox>
          </v:shape>
          <v:shape id="Text Box 4" o:spid="_x0000_s717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0A2483" w:rsidRDefault="000A2483" w:rsidP="000A2483">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A2483" w:rsidRDefault="000A2483" w:rsidP="000A2483">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A2483" w:rsidRDefault="000A2483" w:rsidP="000A2483">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A2483">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A2483" w:rsidRDefault="000A2483" w:rsidP="000A2483">
    <w:pPr>
      <w:pStyle w:val="Header"/>
    </w:pPr>
  </w:p>
  <w:p w:rsidR="000A2483" w:rsidRDefault="000A24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3342B"/>
    <w:multiLevelType w:val="hybridMultilevel"/>
    <w:tmpl w:val="8782F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5D0AB4"/>
    <w:multiLevelType w:val="hybridMultilevel"/>
    <w:tmpl w:val="A7F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10242"/>
    <o:shapelayout v:ext="edit">
      <o:idmap v:ext="edit" data="7"/>
      <o:rules v:ext="edit">
        <o:r id="V:Rule2" type="connector" idref="#AutoShape 2"/>
      </o:rules>
    </o:shapelayout>
  </w:hdrShapeDefaults>
  <w:footnotePr>
    <w:footnote w:id="0"/>
    <w:footnote w:id="1"/>
  </w:footnotePr>
  <w:endnotePr>
    <w:endnote w:id="0"/>
    <w:endnote w:id="1"/>
  </w:endnotePr>
  <w:compat/>
  <w:rsids>
    <w:rsidRoot w:val="00F63D88"/>
    <w:rsid w:val="00037215"/>
    <w:rsid w:val="00037D7E"/>
    <w:rsid w:val="00057B1C"/>
    <w:rsid w:val="00061377"/>
    <w:rsid w:val="00072BD8"/>
    <w:rsid w:val="00075AB3"/>
    <w:rsid w:val="0009245C"/>
    <w:rsid w:val="00092BBF"/>
    <w:rsid w:val="000A2483"/>
    <w:rsid w:val="000A6FC2"/>
    <w:rsid w:val="000D0FA0"/>
    <w:rsid w:val="000F2D28"/>
    <w:rsid w:val="000F68B0"/>
    <w:rsid w:val="000F6ECE"/>
    <w:rsid w:val="00100D78"/>
    <w:rsid w:val="00104469"/>
    <w:rsid w:val="0012215D"/>
    <w:rsid w:val="00125D4F"/>
    <w:rsid w:val="0014058A"/>
    <w:rsid w:val="001473A8"/>
    <w:rsid w:val="00160DD4"/>
    <w:rsid w:val="00167FB3"/>
    <w:rsid w:val="00175E4B"/>
    <w:rsid w:val="00182E33"/>
    <w:rsid w:val="00184205"/>
    <w:rsid w:val="0019394D"/>
    <w:rsid w:val="00194E7A"/>
    <w:rsid w:val="001A6FFE"/>
    <w:rsid w:val="001A72C1"/>
    <w:rsid w:val="001C0B3E"/>
    <w:rsid w:val="001F2ED6"/>
    <w:rsid w:val="00212496"/>
    <w:rsid w:val="002152F6"/>
    <w:rsid w:val="00242994"/>
    <w:rsid w:val="002A22D2"/>
    <w:rsid w:val="002B4381"/>
    <w:rsid w:val="002B4BA7"/>
    <w:rsid w:val="002F373E"/>
    <w:rsid w:val="0030155E"/>
    <w:rsid w:val="00306409"/>
    <w:rsid w:val="00310921"/>
    <w:rsid w:val="00321BDE"/>
    <w:rsid w:val="00342FF3"/>
    <w:rsid w:val="00343966"/>
    <w:rsid w:val="00344D85"/>
    <w:rsid w:val="00384C15"/>
    <w:rsid w:val="003971B6"/>
    <w:rsid w:val="003B1214"/>
    <w:rsid w:val="003C0E54"/>
    <w:rsid w:val="003C6177"/>
    <w:rsid w:val="003E674A"/>
    <w:rsid w:val="003F5A09"/>
    <w:rsid w:val="00430D9D"/>
    <w:rsid w:val="00433443"/>
    <w:rsid w:val="0044095E"/>
    <w:rsid w:val="00457E9E"/>
    <w:rsid w:val="00465986"/>
    <w:rsid w:val="004930DA"/>
    <w:rsid w:val="004A41A3"/>
    <w:rsid w:val="004B4AF5"/>
    <w:rsid w:val="004D5F71"/>
    <w:rsid w:val="004F7EDE"/>
    <w:rsid w:val="00506538"/>
    <w:rsid w:val="00515303"/>
    <w:rsid w:val="00516116"/>
    <w:rsid w:val="00541A3C"/>
    <w:rsid w:val="00564A25"/>
    <w:rsid w:val="005674CB"/>
    <w:rsid w:val="005850ED"/>
    <w:rsid w:val="00597FE0"/>
    <w:rsid w:val="005C0471"/>
    <w:rsid w:val="005C57B1"/>
    <w:rsid w:val="005F3A57"/>
    <w:rsid w:val="006071D3"/>
    <w:rsid w:val="006347AD"/>
    <w:rsid w:val="00660B0A"/>
    <w:rsid w:val="00664FCB"/>
    <w:rsid w:val="006670BF"/>
    <w:rsid w:val="006812D1"/>
    <w:rsid w:val="00697BD2"/>
    <w:rsid w:val="006A527E"/>
    <w:rsid w:val="006D1CC3"/>
    <w:rsid w:val="006E0991"/>
    <w:rsid w:val="006E1BB5"/>
    <w:rsid w:val="006E522A"/>
    <w:rsid w:val="006E79AF"/>
    <w:rsid w:val="0074136C"/>
    <w:rsid w:val="00746FCA"/>
    <w:rsid w:val="00751C9E"/>
    <w:rsid w:val="00770D00"/>
    <w:rsid w:val="007712E6"/>
    <w:rsid w:val="007A5895"/>
    <w:rsid w:val="007B49F4"/>
    <w:rsid w:val="007E4EB6"/>
    <w:rsid w:val="00830FBF"/>
    <w:rsid w:val="00834AD6"/>
    <w:rsid w:val="0086067E"/>
    <w:rsid w:val="008973AD"/>
    <w:rsid w:val="008D6000"/>
    <w:rsid w:val="008E117F"/>
    <w:rsid w:val="008E216B"/>
    <w:rsid w:val="008F1F15"/>
    <w:rsid w:val="00901B79"/>
    <w:rsid w:val="00911BA3"/>
    <w:rsid w:val="009150EE"/>
    <w:rsid w:val="009200E5"/>
    <w:rsid w:val="009654E1"/>
    <w:rsid w:val="009803BF"/>
    <w:rsid w:val="009B4D36"/>
    <w:rsid w:val="009D5398"/>
    <w:rsid w:val="00A009CB"/>
    <w:rsid w:val="00A14DAD"/>
    <w:rsid w:val="00A27383"/>
    <w:rsid w:val="00A430EF"/>
    <w:rsid w:val="00A62487"/>
    <w:rsid w:val="00AA0182"/>
    <w:rsid w:val="00AA0FA9"/>
    <w:rsid w:val="00AA44B7"/>
    <w:rsid w:val="00AC1BDF"/>
    <w:rsid w:val="00AE1BF2"/>
    <w:rsid w:val="00AE5DAB"/>
    <w:rsid w:val="00AE7197"/>
    <w:rsid w:val="00AF5BB6"/>
    <w:rsid w:val="00B046AD"/>
    <w:rsid w:val="00B2731D"/>
    <w:rsid w:val="00B53BFF"/>
    <w:rsid w:val="00B82671"/>
    <w:rsid w:val="00BD35E5"/>
    <w:rsid w:val="00BF0C66"/>
    <w:rsid w:val="00C020C4"/>
    <w:rsid w:val="00C02C4D"/>
    <w:rsid w:val="00C205AA"/>
    <w:rsid w:val="00C24F9E"/>
    <w:rsid w:val="00C27F44"/>
    <w:rsid w:val="00C35CC6"/>
    <w:rsid w:val="00C71D03"/>
    <w:rsid w:val="00CB69A3"/>
    <w:rsid w:val="00CE12B6"/>
    <w:rsid w:val="00CE1870"/>
    <w:rsid w:val="00CE3F69"/>
    <w:rsid w:val="00CF5EBA"/>
    <w:rsid w:val="00D0461C"/>
    <w:rsid w:val="00D07AC3"/>
    <w:rsid w:val="00D62135"/>
    <w:rsid w:val="00D7124E"/>
    <w:rsid w:val="00D72225"/>
    <w:rsid w:val="00D73D5C"/>
    <w:rsid w:val="00D77030"/>
    <w:rsid w:val="00D85072"/>
    <w:rsid w:val="00D9702E"/>
    <w:rsid w:val="00DC729C"/>
    <w:rsid w:val="00DF4090"/>
    <w:rsid w:val="00DF5E8A"/>
    <w:rsid w:val="00E156F4"/>
    <w:rsid w:val="00E20A25"/>
    <w:rsid w:val="00E22910"/>
    <w:rsid w:val="00E24992"/>
    <w:rsid w:val="00E259FF"/>
    <w:rsid w:val="00E44582"/>
    <w:rsid w:val="00E537B3"/>
    <w:rsid w:val="00E61D28"/>
    <w:rsid w:val="00E70053"/>
    <w:rsid w:val="00E85DFA"/>
    <w:rsid w:val="00E8758F"/>
    <w:rsid w:val="00E95AFC"/>
    <w:rsid w:val="00EB2D4D"/>
    <w:rsid w:val="00EB7353"/>
    <w:rsid w:val="00EC3A15"/>
    <w:rsid w:val="00EE15EE"/>
    <w:rsid w:val="00EF6703"/>
    <w:rsid w:val="00F069C5"/>
    <w:rsid w:val="00F13D2D"/>
    <w:rsid w:val="00F1564F"/>
    <w:rsid w:val="00F15CA9"/>
    <w:rsid w:val="00F16EF0"/>
    <w:rsid w:val="00F447CB"/>
    <w:rsid w:val="00F57C75"/>
    <w:rsid w:val="00F63D88"/>
    <w:rsid w:val="00F82F6E"/>
    <w:rsid w:val="00F83E02"/>
    <w:rsid w:val="00F879BB"/>
    <w:rsid w:val="00FA6105"/>
    <w:rsid w:val="00FB5034"/>
    <w:rsid w:val="00FB6480"/>
    <w:rsid w:val="00FB6760"/>
    <w:rsid w:val="00FC7BEE"/>
    <w:rsid w:val="00FE14FF"/>
    <w:rsid w:val="00FF13E7"/>
    <w:rsid w:val="00FF2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3D88"/>
    <w:pPr>
      <w:autoSpaceDE w:val="0"/>
      <w:autoSpaceDN w:val="0"/>
      <w:adjustRightInd w:val="0"/>
      <w:spacing w:after="0" w:line="240" w:lineRule="auto"/>
      <w:jc w:val="left"/>
    </w:pPr>
    <w:rPr>
      <w:rFonts w:ascii="Times New Roman" w:hAnsi="Times New Roman" w:cs="Times New Roman"/>
      <w:color w:val="000000"/>
      <w:sz w:val="24"/>
      <w:szCs w:val="24"/>
    </w:rPr>
  </w:style>
  <w:style w:type="paragraph" w:styleId="ListParagraph">
    <w:name w:val="List Paragraph"/>
    <w:basedOn w:val="Normal"/>
    <w:uiPriority w:val="34"/>
    <w:qFormat/>
    <w:rsid w:val="00F63D88"/>
    <w:pPr>
      <w:ind w:left="720"/>
      <w:contextualSpacing/>
    </w:pPr>
  </w:style>
  <w:style w:type="paragraph" w:styleId="BodyText3">
    <w:name w:val="Body Text 3"/>
    <w:basedOn w:val="Normal"/>
    <w:link w:val="BodyText3Char"/>
    <w:rsid w:val="001A72C1"/>
    <w:pPr>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A72C1"/>
    <w:rPr>
      <w:rFonts w:ascii="Times New Roman" w:eastAsia="Times New Roman" w:hAnsi="Times New Roman" w:cs="Times New Roman"/>
      <w:sz w:val="16"/>
      <w:szCs w:val="16"/>
    </w:rPr>
  </w:style>
  <w:style w:type="character" w:customStyle="1" w:styleId="plava">
    <w:name w:val="plava"/>
    <w:basedOn w:val="DefaultParagraphFont"/>
    <w:rsid w:val="001A72C1"/>
  </w:style>
  <w:style w:type="paragraph" w:styleId="BalloonText">
    <w:name w:val="Balloon Text"/>
    <w:basedOn w:val="Normal"/>
    <w:link w:val="BalloonTextChar"/>
    <w:uiPriority w:val="99"/>
    <w:semiHidden/>
    <w:unhideWhenUsed/>
    <w:rsid w:val="00746F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CA"/>
    <w:rPr>
      <w:rFonts w:ascii="Tahoma" w:hAnsi="Tahoma" w:cs="Tahoma"/>
      <w:sz w:val="16"/>
      <w:szCs w:val="16"/>
    </w:rPr>
  </w:style>
  <w:style w:type="character" w:styleId="Hyperlink">
    <w:name w:val="Hyperlink"/>
    <w:basedOn w:val="DefaultParagraphFont"/>
    <w:uiPriority w:val="99"/>
    <w:unhideWhenUsed/>
    <w:rsid w:val="00AC1BDF"/>
    <w:rPr>
      <w:color w:val="0000FF" w:themeColor="hyperlink"/>
      <w:u w:val="single"/>
    </w:rPr>
  </w:style>
  <w:style w:type="paragraph" w:styleId="Header">
    <w:name w:val="header"/>
    <w:basedOn w:val="Normal"/>
    <w:link w:val="HeaderChar"/>
    <w:uiPriority w:val="99"/>
    <w:unhideWhenUsed/>
    <w:rsid w:val="000A2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483"/>
  </w:style>
  <w:style w:type="paragraph" w:styleId="Footer">
    <w:name w:val="footer"/>
    <w:basedOn w:val="Normal"/>
    <w:link w:val="FooterChar"/>
    <w:unhideWhenUsed/>
    <w:rsid w:val="000A2483"/>
    <w:pPr>
      <w:tabs>
        <w:tab w:val="center" w:pos="4680"/>
        <w:tab w:val="right" w:pos="9360"/>
      </w:tabs>
      <w:spacing w:after="0" w:line="240" w:lineRule="auto"/>
    </w:pPr>
  </w:style>
  <w:style w:type="character" w:customStyle="1" w:styleId="FooterChar">
    <w:name w:val="Footer Char"/>
    <w:basedOn w:val="DefaultParagraphFont"/>
    <w:link w:val="Footer"/>
    <w:rsid w:val="000A2483"/>
  </w:style>
  <w:style w:type="paragraph" w:styleId="NoSpacing">
    <w:name w:val="No Spacing"/>
    <w:uiPriority w:val="1"/>
    <w:qFormat/>
    <w:rsid w:val="000A2483"/>
    <w:pPr>
      <w:spacing w:after="0" w:line="240" w:lineRule="auto"/>
      <w:jc w:val="lef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bia-visi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Domestic tourists</c:v>
                </c:pt>
              </c:strCache>
            </c:strRef>
          </c:tx>
          <c:cat>
            <c:strRef>
              <c:f>Sheet1!$A$2:$A$12</c:f>
              <c:strCache>
                <c:ptCount val="11"/>
                <c:pt idx="0">
                  <c:v>2006</c:v>
                </c:pt>
                <c:pt idx="1">
                  <c:v>2007</c:v>
                </c:pt>
                <c:pt idx="2">
                  <c:v>2008</c:v>
                </c:pt>
                <c:pt idx="3">
                  <c:v>2009</c:v>
                </c:pt>
                <c:pt idx="4">
                  <c:v>2010</c:v>
                </c:pt>
                <c:pt idx="5">
                  <c:v>2011</c:v>
                </c:pt>
                <c:pt idx="6">
                  <c:v>2012</c:v>
                </c:pt>
                <c:pt idx="7">
                  <c:v>2013</c:v>
                </c:pt>
                <c:pt idx="8">
                  <c:v>2014</c:v>
                </c:pt>
                <c:pt idx="9">
                  <c:v>2015</c:v>
                </c:pt>
                <c:pt idx="10">
                  <c:v>Jan - Nov 2016</c:v>
                </c:pt>
              </c:strCache>
            </c:strRef>
          </c:cat>
          <c:val>
            <c:numRef>
              <c:f>Sheet1!$B$2:$B$12</c:f>
              <c:numCache>
                <c:formatCode>#,##0</c:formatCode>
                <c:ptCount val="11"/>
                <c:pt idx="0">
                  <c:v>279986</c:v>
                </c:pt>
                <c:pt idx="1">
                  <c:v>336779</c:v>
                </c:pt>
                <c:pt idx="2">
                  <c:v>347376</c:v>
                </c:pt>
                <c:pt idx="3">
                  <c:v>294629</c:v>
                </c:pt>
                <c:pt idx="4">
                  <c:v>274400</c:v>
                </c:pt>
                <c:pt idx="5">
                  <c:v>285604</c:v>
                </c:pt>
                <c:pt idx="6">
                  <c:v>275073</c:v>
                </c:pt>
                <c:pt idx="7">
                  <c:v>251673</c:v>
                </c:pt>
                <c:pt idx="8">
                  <c:v>233013</c:v>
                </c:pt>
                <c:pt idx="9">
                  <c:v>252910</c:v>
                </c:pt>
                <c:pt idx="10">
                  <c:v>260822</c:v>
                </c:pt>
              </c:numCache>
            </c:numRef>
          </c:val>
        </c:ser>
        <c:ser>
          <c:idx val="1"/>
          <c:order val="1"/>
          <c:tx>
            <c:strRef>
              <c:f>Sheet1!$C$1</c:f>
              <c:strCache>
                <c:ptCount val="1"/>
                <c:pt idx="0">
                  <c:v>Foreign tourists</c:v>
                </c:pt>
              </c:strCache>
            </c:strRef>
          </c:tx>
          <c:cat>
            <c:strRef>
              <c:f>Sheet1!$A$2:$A$12</c:f>
              <c:strCache>
                <c:ptCount val="11"/>
                <c:pt idx="0">
                  <c:v>2006</c:v>
                </c:pt>
                <c:pt idx="1">
                  <c:v>2007</c:v>
                </c:pt>
                <c:pt idx="2">
                  <c:v>2008</c:v>
                </c:pt>
                <c:pt idx="3">
                  <c:v>2009</c:v>
                </c:pt>
                <c:pt idx="4">
                  <c:v>2010</c:v>
                </c:pt>
                <c:pt idx="5">
                  <c:v>2011</c:v>
                </c:pt>
                <c:pt idx="6">
                  <c:v>2012</c:v>
                </c:pt>
                <c:pt idx="7">
                  <c:v>2013</c:v>
                </c:pt>
                <c:pt idx="8">
                  <c:v>2014</c:v>
                </c:pt>
                <c:pt idx="9">
                  <c:v>2015</c:v>
                </c:pt>
                <c:pt idx="10">
                  <c:v>Jan - Nov 2016</c:v>
                </c:pt>
              </c:strCache>
            </c:strRef>
          </c:cat>
          <c:val>
            <c:numRef>
              <c:f>Sheet1!$C$2:$C$12</c:f>
              <c:numCache>
                <c:formatCode>#,##0</c:formatCode>
                <c:ptCount val="11"/>
                <c:pt idx="0">
                  <c:v>38865</c:v>
                </c:pt>
                <c:pt idx="1">
                  <c:v>64490</c:v>
                </c:pt>
                <c:pt idx="2">
                  <c:v>64958</c:v>
                </c:pt>
                <c:pt idx="3">
                  <c:v>76609</c:v>
                </c:pt>
                <c:pt idx="4">
                  <c:v>78153</c:v>
                </c:pt>
                <c:pt idx="5">
                  <c:v>76594</c:v>
                </c:pt>
                <c:pt idx="6">
                  <c:v>78633</c:v>
                </c:pt>
                <c:pt idx="7">
                  <c:v>83136</c:v>
                </c:pt>
                <c:pt idx="8">
                  <c:v>96516</c:v>
                </c:pt>
                <c:pt idx="9">
                  <c:v>108868</c:v>
                </c:pt>
                <c:pt idx="10">
                  <c:v>111552</c:v>
                </c:pt>
              </c:numCache>
            </c:numRef>
          </c:val>
        </c:ser>
        <c:axId val="130561152"/>
        <c:axId val="130562688"/>
      </c:barChart>
      <c:catAx>
        <c:axId val="130561152"/>
        <c:scaling>
          <c:orientation val="minMax"/>
        </c:scaling>
        <c:axPos val="b"/>
        <c:numFmt formatCode="General" sourceLinked="1"/>
        <c:tickLblPos val="nextTo"/>
        <c:txPr>
          <a:bodyPr/>
          <a:lstStyle/>
          <a:p>
            <a:pPr>
              <a:defRPr lang="sr-Latn-CS"/>
            </a:pPr>
            <a:endParaRPr lang="en-US"/>
          </a:p>
        </c:txPr>
        <c:crossAx val="130562688"/>
        <c:crosses val="autoZero"/>
        <c:auto val="1"/>
        <c:lblAlgn val="ctr"/>
        <c:lblOffset val="100"/>
      </c:catAx>
      <c:valAx>
        <c:axId val="130562688"/>
        <c:scaling>
          <c:orientation val="minMax"/>
        </c:scaling>
        <c:axPos val="l"/>
        <c:majorGridlines/>
        <c:numFmt formatCode="#,##0" sourceLinked="1"/>
        <c:tickLblPos val="nextTo"/>
        <c:txPr>
          <a:bodyPr/>
          <a:lstStyle/>
          <a:p>
            <a:pPr>
              <a:defRPr lang="sr-Latn-CS"/>
            </a:pPr>
            <a:endParaRPr lang="en-US"/>
          </a:p>
        </c:txPr>
        <c:crossAx val="130561152"/>
        <c:crosses val="autoZero"/>
        <c:crossBetween val="between"/>
      </c:valAx>
    </c:plotArea>
    <c:legend>
      <c:legendPos val="r"/>
      <c:txPr>
        <a:bodyPr/>
        <a:lstStyle/>
        <a:p>
          <a:pPr>
            <a:defRPr lang="sr-Latn-C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Domestic tourists</c:v>
                </c:pt>
              </c:strCache>
            </c:strRef>
          </c:tx>
          <c:cat>
            <c:strRef>
              <c:f>Sheet1!$A$2:$A$12</c:f>
              <c:strCache>
                <c:ptCount val="11"/>
                <c:pt idx="0">
                  <c:v>2006</c:v>
                </c:pt>
                <c:pt idx="1">
                  <c:v>2007</c:v>
                </c:pt>
                <c:pt idx="2">
                  <c:v>2008</c:v>
                </c:pt>
                <c:pt idx="3">
                  <c:v>2009</c:v>
                </c:pt>
                <c:pt idx="4">
                  <c:v>2010</c:v>
                </c:pt>
                <c:pt idx="5">
                  <c:v>2011</c:v>
                </c:pt>
                <c:pt idx="6">
                  <c:v>2012</c:v>
                </c:pt>
                <c:pt idx="7">
                  <c:v>2013</c:v>
                </c:pt>
                <c:pt idx="8">
                  <c:v>2014</c:v>
                </c:pt>
                <c:pt idx="9">
                  <c:v>2015</c:v>
                </c:pt>
                <c:pt idx="10">
                  <c:v>Jan - Nov 2016</c:v>
                </c:pt>
              </c:strCache>
            </c:strRef>
          </c:cat>
          <c:val>
            <c:numRef>
              <c:f>Sheet1!$B$2:$B$12</c:f>
              <c:numCache>
                <c:formatCode>#,##0</c:formatCode>
                <c:ptCount val="11"/>
                <c:pt idx="0">
                  <c:v>1228613</c:v>
                </c:pt>
                <c:pt idx="1">
                  <c:v>1363171</c:v>
                </c:pt>
                <c:pt idx="2">
                  <c:v>1424628</c:v>
                </c:pt>
                <c:pt idx="3">
                  <c:v>1243508</c:v>
                </c:pt>
                <c:pt idx="4">
                  <c:v>1185410</c:v>
                </c:pt>
                <c:pt idx="5">
                  <c:v>1217258</c:v>
                </c:pt>
                <c:pt idx="6">
                  <c:v>1163491</c:v>
                </c:pt>
                <c:pt idx="7">
                  <c:v>957431</c:v>
                </c:pt>
                <c:pt idx="8">
                  <c:v>805322</c:v>
                </c:pt>
                <c:pt idx="9">
                  <c:v>855685</c:v>
                </c:pt>
                <c:pt idx="10">
                  <c:v>867872</c:v>
                </c:pt>
              </c:numCache>
            </c:numRef>
          </c:val>
        </c:ser>
        <c:ser>
          <c:idx val="1"/>
          <c:order val="1"/>
          <c:tx>
            <c:strRef>
              <c:f>Sheet1!$C$1</c:f>
              <c:strCache>
                <c:ptCount val="1"/>
                <c:pt idx="0">
                  <c:v>Foreign tourists</c:v>
                </c:pt>
              </c:strCache>
            </c:strRef>
          </c:tx>
          <c:cat>
            <c:strRef>
              <c:f>Sheet1!$A$2:$A$12</c:f>
              <c:strCache>
                <c:ptCount val="11"/>
                <c:pt idx="0">
                  <c:v>2006</c:v>
                </c:pt>
                <c:pt idx="1">
                  <c:v>2007</c:v>
                </c:pt>
                <c:pt idx="2">
                  <c:v>2008</c:v>
                </c:pt>
                <c:pt idx="3">
                  <c:v>2009</c:v>
                </c:pt>
                <c:pt idx="4">
                  <c:v>2010</c:v>
                </c:pt>
                <c:pt idx="5">
                  <c:v>2011</c:v>
                </c:pt>
                <c:pt idx="6">
                  <c:v>2012</c:v>
                </c:pt>
                <c:pt idx="7">
                  <c:v>2013</c:v>
                </c:pt>
                <c:pt idx="8">
                  <c:v>2014</c:v>
                </c:pt>
                <c:pt idx="9">
                  <c:v>2015</c:v>
                </c:pt>
                <c:pt idx="10">
                  <c:v>Jan - Nov 2016</c:v>
                </c:pt>
              </c:strCache>
            </c:strRef>
          </c:cat>
          <c:val>
            <c:numRef>
              <c:f>Sheet1!$C$2:$C$12</c:f>
              <c:numCache>
                <c:formatCode>#,##0</c:formatCode>
                <c:ptCount val="11"/>
                <c:pt idx="0">
                  <c:v>73995</c:v>
                </c:pt>
                <c:pt idx="1">
                  <c:v>109536</c:v>
                </c:pt>
                <c:pt idx="2">
                  <c:v>117107</c:v>
                </c:pt>
                <c:pt idx="3">
                  <c:v>137948</c:v>
                </c:pt>
                <c:pt idx="4">
                  <c:v>129297</c:v>
                </c:pt>
                <c:pt idx="5">
                  <c:v>133501</c:v>
                </c:pt>
                <c:pt idx="6">
                  <c:v>151943</c:v>
                </c:pt>
                <c:pt idx="7">
                  <c:v>148746</c:v>
                </c:pt>
                <c:pt idx="8">
                  <c:v>190626</c:v>
                </c:pt>
                <c:pt idx="9">
                  <c:v>211313</c:v>
                </c:pt>
                <c:pt idx="10">
                  <c:v>206810</c:v>
                </c:pt>
              </c:numCache>
            </c:numRef>
          </c:val>
        </c:ser>
        <c:axId val="130673280"/>
        <c:axId val="130728320"/>
      </c:barChart>
      <c:catAx>
        <c:axId val="130673280"/>
        <c:scaling>
          <c:orientation val="minMax"/>
        </c:scaling>
        <c:axPos val="b"/>
        <c:numFmt formatCode="General" sourceLinked="1"/>
        <c:tickLblPos val="nextTo"/>
        <c:txPr>
          <a:bodyPr/>
          <a:lstStyle/>
          <a:p>
            <a:pPr>
              <a:defRPr lang="sr-Latn-CS"/>
            </a:pPr>
            <a:endParaRPr lang="en-US"/>
          </a:p>
        </c:txPr>
        <c:crossAx val="130728320"/>
        <c:crosses val="autoZero"/>
        <c:auto val="1"/>
        <c:lblAlgn val="ctr"/>
        <c:lblOffset val="100"/>
      </c:catAx>
      <c:valAx>
        <c:axId val="130728320"/>
        <c:scaling>
          <c:orientation val="minMax"/>
        </c:scaling>
        <c:axPos val="l"/>
        <c:majorGridlines/>
        <c:numFmt formatCode="#,##0" sourceLinked="1"/>
        <c:tickLblPos val="nextTo"/>
        <c:txPr>
          <a:bodyPr/>
          <a:lstStyle/>
          <a:p>
            <a:pPr>
              <a:defRPr lang="sr-Latn-CS"/>
            </a:pPr>
            <a:endParaRPr lang="en-US"/>
          </a:p>
        </c:txPr>
        <c:crossAx val="130673280"/>
        <c:crosses val="autoZero"/>
        <c:crossBetween val="between"/>
      </c:valAx>
    </c:plotArea>
    <c:legend>
      <c:legendPos val="r"/>
      <c:txPr>
        <a:bodyPr/>
        <a:lstStyle/>
        <a:p>
          <a:pPr>
            <a:defRPr lang="sr-Latn-C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Danube District</c:v>
                </c:pt>
              </c:strCache>
            </c:strRef>
          </c:tx>
          <c:cat>
            <c:numRef>
              <c:f>Sheet1!$A$2:$A$5</c:f>
              <c:numCache>
                <c:formatCode>General</c:formatCode>
                <c:ptCount val="4"/>
                <c:pt idx="0">
                  <c:v>2012</c:v>
                </c:pt>
                <c:pt idx="1">
                  <c:v>2013</c:v>
                </c:pt>
                <c:pt idx="2">
                  <c:v>2014</c:v>
                </c:pt>
                <c:pt idx="3">
                  <c:v>2015</c:v>
                </c:pt>
              </c:numCache>
            </c:numRef>
          </c:cat>
          <c:val>
            <c:numRef>
              <c:f>Sheet1!$B$2:$B$5</c:f>
              <c:numCache>
                <c:formatCode>#,##0</c:formatCode>
                <c:ptCount val="4"/>
                <c:pt idx="0">
                  <c:v>13815</c:v>
                </c:pt>
                <c:pt idx="1">
                  <c:v>17282</c:v>
                </c:pt>
                <c:pt idx="2">
                  <c:v>12572</c:v>
                </c:pt>
                <c:pt idx="3">
                  <c:v>10617</c:v>
                </c:pt>
              </c:numCache>
            </c:numRef>
          </c:val>
        </c:ser>
        <c:ser>
          <c:idx val="1"/>
          <c:order val="1"/>
          <c:tx>
            <c:strRef>
              <c:f>Sheet1!$C$1</c:f>
              <c:strCache>
                <c:ptCount val="1"/>
                <c:pt idx="0">
                  <c:v>Branicevo District</c:v>
                </c:pt>
              </c:strCache>
            </c:strRef>
          </c:tx>
          <c:cat>
            <c:numRef>
              <c:f>Sheet1!$A$2:$A$5</c:f>
              <c:numCache>
                <c:formatCode>General</c:formatCode>
                <c:ptCount val="4"/>
                <c:pt idx="0">
                  <c:v>2012</c:v>
                </c:pt>
                <c:pt idx="1">
                  <c:v>2013</c:v>
                </c:pt>
                <c:pt idx="2">
                  <c:v>2014</c:v>
                </c:pt>
                <c:pt idx="3">
                  <c:v>2015</c:v>
                </c:pt>
              </c:numCache>
            </c:numRef>
          </c:cat>
          <c:val>
            <c:numRef>
              <c:f>Sheet1!$C$2:$C$5</c:f>
              <c:numCache>
                <c:formatCode>#,##0</c:formatCode>
                <c:ptCount val="4"/>
                <c:pt idx="0">
                  <c:v>30490</c:v>
                </c:pt>
                <c:pt idx="1">
                  <c:v>32569</c:v>
                </c:pt>
                <c:pt idx="2">
                  <c:v>39885</c:v>
                </c:pt>
                <c:pt idx="3">
                  <c:v>45154</c:v>
                </c:pt>
              </c:numCache>
            </c:numRef>
          </c:val>
        </c:ser>
        <c:ser>
          <c:idx val="2"/>
          <c:order val="2"/>
          <c:tx>
            <c:strRef>
              <c:f>Sheet1!$D$1</c:f>
              <c:strCache>
                <c:ptCount val="1"/>
                <c:pt idx="0">
                  <c:v>Bor District</c:v>
                </c:pt>
              </c:strCache>
            </c:strRef>
          </c:tx>
          <c:cat>
            <c:numRef>
              <c:f>Sheet1!$A$2:$A$5</c:f>
              <c:numCache>
                <c:formatCode>General</c:formatCode>
                <c:ptCount val="4"/>
                <c:pt idx="0">
                  <c:v>2012</c:v>
                </c:pt>
                <c:pt idx="1">
                  <c:v>2013</c:v>
                </c:pt>
                <c:pt idx="2">
                  <c:v>2014</c:v>
                </c:pt>
                <c:pt idx="3">
                  <c:v>2015</c:v>
                </c:pt>
              </c:numCache>
            </c:numRef>
          </c:cat>
          <c:val>
            <c:numRef>
              <c:f>Sheet1!$D$2:$D$5</c:f>
              <c:numCache>
                <c:formatCode>#,##0</c:formatCode>
                <c:ptCount val="4"/>
                <c:pt idx="0">
                  <c:v>68023</c:v>
                </c:pt>
                <c:pt idx="1">
                  <c:v>59449</c:v>
                </c:pt>
                <c:pt idx="2">
                  <c:v>56789</c:v>
                </c:pt>
                <c:pt idx="3">
                  <c:v>63524</c:v>
                </c:pt>
              </c:numCache>
            </c:numRef>
          </c:val>
        </c:ser>
        <c:ser>
          <c:idx val="3"/>
          <c:order val="3"/>
          <c:tx>
            <c:strRef>
              <c:f>Sheet1!$E$1</c:f>
              <c:strCache>
                <c:ptCount val="1"/>
                <c:pt idx="0">
                  <c:v>Zajecar District</c:v>
                </c:pt>
              </c:strCache>
            </c:strRef>
          </c:tx>
          <c:cat>
            <c:numRef>
              <c:f>Sheet1!$A$2:$A$5</c:f>
              <c:numCache>
                <c:formatCode>General</c:formatCode>
                <c:ptCount val="4"/>
                <c:pt idx="0">
                  <c:v>2012</c:v>
                </c:pt>
                <c:pt idx="1">
                  <c:v>2013</c:v>
                </c:pt>
                <c:pt idx="2">
                  <c:v>2014</c:v>
                </c:pt>
                <c:pt idx="3">
                  <c:v>2015</c:v>
                </c:pt>
              </c:numCache>
            </c:numRef>
          </c:cat>
          <c:val>
            <c:numRef>
              <c:f>Sheet1!$E$2:$E$5</c:f>
              <c:numCache>
                <c:formatCode>#,##0</c:formatCode>
                <c:ptCount val="4"/>
                <c:pt idx="0">
                  <c:v>82177</c:v>
                </c:pt>
                <c:pt idx="1">
                  <c:v>82659</c:v>
                </c:pt>
                <c:pt idx="2">
                  <c:v>70769</c:v>
                </c:pt>
                <c:pt idx="3">
                  <c:v>81309</c:v>
                </c:pt>
              </c:numCache>
            </c:numRef>
          </c:val>
        </c:ser>
        <c:ser>
          <c:idx val="4"/>
          <c:order val="4"/>
          <c:tx>
            <c:strRef>
              <c:f>Sheet1!$F$1</c:f>
              <c:strCache>
                <c:ptCount val="1"/>
                <c:pt idx="0">
                  <c:v>Nis District</c:v>
                </c:pt>
              </c:strCache>
            </c:strRef>
          </c:tx>
          <c:cat>
            <c:numRef>
              <c:f>Sheet1!$A$2:$A$5</c:f>
              <c:numCache>
                <c:formatCode>General</c:formatCode>
                <c:ptCount val="4"/>
                <c:pt idx="0">
                  <c:v>2012</c:v>
                </c:pt>
                <c:pt idx="1">
                  <c:v>2013</c:v>
                </c:pt>
                <c:pt idx="2">
                  <c:v>2014</c:v>
                </c:pt>
                <c:pt idx="3">
                  <c:v>2015</c:v>
                </c:pt>
              </c:numCache>
            </c:numRef>
          </c:cat>
          <c:val>
            <c:numRef>
              <c:f>Sheet1!$F$2:$F$5</c:f>
              <c:numCache>
                <c:formatCode>#,##0</c:formatCode>
                <c:ptCount val="4"/>
                <c:pt idx="0">
                  <c:v>79631</c:v>
                </c:pt>
                <c:pt idx="1">
                  <c:v>64990</c:v>
                </c:pt>
                <c:pt idx="2">
                  <c:v>70413</c:v>
                </c:pt>
                <c:pt idx="3">
                  <c:v>83292</c:v>
                </c:pt>
              </c:numCache>
            </c:numRef>
          </c:val>
        </c:ser>
        <c:ser>
          <c:idx val="5"/>
          <c:order val="5"/>
          <c:tx>
            <c:strRef>
              <c:f>Sheet1!$G$1</c:f>
              <c:strCache>
                <c:ptCount val="1"/>
                <c:pt idx="0">
                  <c:v>Toplica District</c:v>
                </c:pt>
              </c:strCache>
            </c:strRef>
          </c:tx>
          <c:cat>
            <c:numRef>
              <c:f>Sheet1!$A$2:$A$5</c:f>
              <c:numCache>
                <c:formatCode>General</c:formatCode>
                <c:ptCount val="4"/>
                <c:pt idx="0">
                  <c:v>2012</c:v>
                </c:pt>
                <c:pt idx="1">
                  <c:v>2013</c:v>
                </c:pt>
                <c:pt idx="2">
                  <c:v>2014</c:v>
                </c:pt>
                <c:pt idx="3">
                  <c:v>2015</c:v>
                </c:pt>
              </c:numCache>
            </c:numRef>
          </c:cat>
          <c:val>
            <c:numRef>
              <c:f>Sheet1!$G$2:$G$5</c:f>
              <c:numCache>
                <c:formatCode>#,##0</c:formatCode>
                <c:ptCount val="4"/>
                <c:pt idx="0">
                  <c:v>27887</c:v>
                </c:pt>
                <c:pt idx="1">
                  <c:v>24208</c:v>
                </c:pt>
                <c:pt idx="2">
                  <c:v>22990</c:v>
                </c:pt>
                <c:pt idx="3">
                  <c:v>27170</c:v>
                </c:pt>
              </c:numCache>
            </c:numRef>
          </c:val>
        </c:ser>
        <c:ser>
          <c:idx val="6"/>
          <c:order val="6"/>
          <c:tx>
            <c:strRef>
              <c:f>Sheet1!$H$1</c:f>
              <c:strCache>
                <c:ptCount val="1"/>
                <c:pt idx="0">
                  <c:v>Pirot District</c:v>
                </c:pt>
              </c:strCache>
            </c:strRef>
          </c:tx>
          <c:cat>
            <c:numRef>
              <c:f>Sheet1!$A$2:$A$5</c:f>
              <c:numCache>
                <c:formatCode>General</c:formatCode>
                <c:ptCount val="4"/>
                <c:pt idx="0">
                  <c:v>2012</c:v>
                </c:pt>
                <c:pt idx="1">
                  <c:v>2013</c:v>
                </c:pt>
                <c:pt idx="2">
                  <c:v>2014</c:v>
                </c:pt>
                <c:pt idx="3">
                  <c:v>2015</c:v>
                </c:pt>
              </c:numCache>
            </c:numRef>
          </c:cat>
          <c:val>
            <c:numRef>
              <c:f>Sheet1!$H$2:$H$5</c:f>
              <c:numCache>
                <c:formatCode>#,##0</c:formatCode>
                <c:ptCount val="4"/>
                <c:pt idx="0">
                  <c:v>9455</c:v>
                </c:pt>
                <c:pt idx="1">
                  <c:v>9181</c:v>
                </c:pt>
                <c:pt idx="2">
                  <c:v>11432</c:v>
                </c:pt>
                <c:pt idx="3">
                  <c:v>11589</c:v>
                </c:pt>
              </c:numCache>
            </c:numRef>
          </c:val>
        </c:ser>
        <c:ser>
          <c:idx val="7"/>
          <c:order val="7"/>
          <c:tx>
            <c:strRef>
              <c:f>Sheet1!$I$1</c:f>
              <c:strCache>
                <c:ptCount val="1"/>
                <c:pt idx="0">
                  <c:v>Jablanica District</c:v>
                </c:pt>
              </c:strCache>
            </c:strRef>
          </c:tx>
          <c:cat>
            <c:numRef>
              <c:f>Sheet1!$A$2:$A$5</c:f>
              <c:numCache>
                <c:formatCode>General</c:formatCode>
                <c:ptCount val="4"/>
                <c:pt idx="0">
                  <c:v>2012</c:v>
                </c:pt>
                <c:pt idx="1">
                  <c:v>2013</c:v>
                </c:pt>
                <c:pt idx="2">
                  <c:v>2014</c:v>
                </c:pt>
                <c:pt idx="3">
                  <c:v>2015</c:v>
                </c:pt>
              </c:numCache>
            </c:numRef>
          </c:cat>
          <c:val>
            <c:numRef>
              <c:f>Sheet1!$I$2:$I$5</c:f>
              <c:numCache>
                <c:formatCode>#,##0</c:formatCode>
                <c:ptCount val="4"/>
                <c:pt idx="0">
                  <c:v>20539</c:v>
                </c:pt>
                <c:pt idx="1">
                  <c:v>23416</c:v>
                </c:pt>
                <c:pt idx="2">
                  <c:v>22397</c:v>
                </c:pt>
                <c:pt idx="3">
                  <c:v>20790</c:v>
                </c:pt>
              </c:numCache>
            </c:numRef>
          </c:val>
        </c:ser>
        <c:ser>
          <c:idx val="8"/>
          <c:order val="8"/>
          <c:tx>
            <c:strRef>
              <c:f>Sheet1!$J$1</c:f>
              <c:strCache>
                <c:ptCount val="1"/>
                <c:pt idx="0">
                  <c:v>Pcinja District</c:v>
                </c:pt>
              </c:strCache>
            </c:strRef>
          </c:tx>
          <c:cat>
            <c:numRef>
              <c:f>Sheet1!$A$2:$A$5</c:f>
              <c:numCache>
                <c:formatCode>General</c:formatCode>
                <c:ptCount val="4"/>
                <c:pt idx="0">
                  <c:v>2012</c:v>
                </c:pt>
                <c:pt idx="1">
                  <c:v>2013</c:v>
                </c:pt>
                <c:pt idx="2">
                  <c:v>2014</c:v>
                </c:pt>
                <c:pt idx="3">
                  <c:v>2015</c:v>
                </c:pt>
              </c:numCache>
            </c:numRef>
          </c:cat>
          <c:val>
            <c:numRef>
              <c:f>Sheet1!$J$2:$J$5</c:f>
              <c:numCache>
                <c:formatCode>#,##0</c:formatCode>
                <c:ptCount val="4"/>
                <c:pt idx="0">
                  <c:v>21689</c:v>
                </c:pt>
                <c:pt idx="1">
                  <c:v>21055</c:v>
                </c:pt>
                <c:pt idx="2">
                  <c:v>22282</c:v>
                </c:pt>
                <c:pt idx="3">
                  <c:v>18333</c:v>
                </c:pt>
              </c:numCache>
            </c:numRef>
          </c:val>
        </c:ser>
        <c:axId val="130547072"/>
        <c:axId val="130552960"/>
      </c:barChart>
      <c:catAx>
        <c:axId val="130547072"/>
        <c:scaling>
          <c:orientation val="minMax"/>
        </c:scaling>
        <c:axPos val="b"/>
        <c:numFmt formatCode="General" sourceLinked="1"/>
        <c:tickLblPos val="nextTo"/>
        <c:txPr>
          <a:bodyPr/>
          <a:lstStyle/>
          <a:p>
            <a:pPr>
              <a:defRPr lang="sr-Latn-CS"/>
            </a:pPr>
            <a:endParaRPr lang="en-US"/>
          </a:p>
        </c:txPr>
        <c:crossAx val="130552960"/>
        <c:crosses val="autoZero"/>
        <c:auto val="1"/>
        <c:lblAlgn val="ctr"/>
        <c:lblOffset val="100"/>
      </c:catAx>
      <c:valAx>
        <c:axId val="130552960"/>
        <c:scaling>
          <c:orientation val="minMax"/>
        </c:scaling>
        <c:axPos val="l"/>
        <c:majorGridlines/>
        <c:numFmt formatCode="#,##0" sourceLinked="1"/>
        <c:tickLblPos val="nextTo"/>
        <c:txPr>
          <a:bodyPr/>
          <a:lstStyle/>
          <a:p>
            <a:pPr>
              <a:defRPr lang="sr-Latn-CS"/>
            </a:pPr>
            <a:endParaRPr lang="en-US"/>
          </a:p>
        </c:txPr>
        <c:crossAx val="130547072"/>
        <c:crosses val="autoZero"/>
        <c:crossBetween val="between"/>
      </c:valAx>
    </c:plotArea>
    <c:legend>
      <c:legendPos val="r"/>
      <c:txPr>
        <a:bodyPr/>
        <a:lstStyle/>
        <a:p>
          <a:pPr>
            <a:defRPr lang="sr-Latn-CS"/>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Danube District</c:v>
                </c:pt>
              </c:strCache>
            </c:strRef>
          </c:tx>
          <c:cat>
            <c:numRef>
              <c:f>Sheet1!$A$2:$A$5</c:f>
              <c:numCache>
                <c:formatCode>General</c:formatCode>
                <c:ptCount val="4"/>
                <c:pt idx="0">
                  <c:v>2012</c:v>
                </c:pt>
                <c:pt idx="1">
                  <c:v>2013</c:v>
                </c:pt>
                <c:pt idx="2">
                  <c:v>2014</c:v>
                </c:pt>
                <c:pt idx="3">
                  <c:v>2015</c:v>
                </c:pt>
              </c:numCache>
            </c:numRef>
          </c:cat>
          <c:val>
            <c:numRef>
              <c:f>Sheet1!$B$2:$B$5</c:f>
              <c:numCache>
                <c:formatCode>#,##0</c:formatCode>
                <c:ptCount val="4"/>
                <c:pt idx="0">
                  <c:v>24674</c:v>
                </c:pt>
                <c:pt idx="1">
                  <c:v>21127</c:v>
                </c:pt>
                <c:pt idx="2">
                  <c:v>17782</c:v>
                </c:pt>
                <c:pt idx="3">
                  <c:v>20666</c:v>
                </c:pt>
              </c:numCache>
            </c:numRef>
          </c:val>
        </c:ser>
        <c:ser>
          <c:idx val="1"/>
          <c:order val="1"/>
          <c:tx>
            <c:strRef>
              <c:f>Sheet1!$C$1</c:f>
              <c:strCache>
                <c:ptCount val="1"/>
                <c:pt idx="0">
                  <c:v>Branicevo District</c:v>
                </c:pt>
              </c:strCache>
            </c:strRef>
          </c:tx>
          <c:cat>
            <c:numRef>
              <c:f>Sheet1!$A$2:$A$5</c:f>
              <c:numCache>
                <c:formatCode>General</c:formatCode>
                <c:ptCount val="4"/>
                <c:pt idx="0">
                  <c:v>2012</c:v>
                </c:pt>
                <c:pt idx="1">
                  <c:v>2013</c:v>
                </c:pt>
                <c:pt idx="2">
                  <c:v>2014</c:v>
                </c:pt>
                <c:pt idx="3">
                  <c:v>2015</c:v>
                </c:pt>
              </c:numCache>
            </c:numRef>
          </c:cat>
          <c:val>
            <c:numRef>
              <c:f>Sheet1!$C$2:$C$5</c:f>
              <c:numCache>
                <c:formatCode>#,##0</c:formatCode>
                <c:ptCount val="4"/>
                <c:pt idx="0">
                  <c:v>65673</c:v>
                </c:pt>
                <c:pt idx="1">
                  <c:v>70840</c:v>
                </c:pt>
                <c:pt idx="2">
                  <c:v>86159</c:v>
                </c:pt>
                <c:pt idx="3">
                  <c:v>106524</c:v>
                </c:pt>
              </c:numCache>
            </c:numRef>
          </c:val>
        </c:ser>
        <c:ser>
          <c:idx val="2"/>
          <c:order val="2"/>
          <c:tx>
            <c:strRef>
              <c:f>Sheet1!$D$1</c:f>
              <c:strCache>
                <c:ptCount val="1"/>
                <c:pt idx="0">
                  <c:v>Bor District</c:v>
                </c:pt>
              </c:strCache>
            </c:strRef>
          </c:tx>
          <c:cat>
            <c:numRef>
              <c:f>Sheet1!$A$2:$A$5</c:f>
              <c:numCache>
                <c:formatCode>General</c:formatCode>
                <c:ptCount val="4"/>
                <c:pt idx="0">
                  <c:v>2012</c:v>
                </c:pt>
                <c:pt idx="1">
                  <c:v>2013</c:v>
                </c:pt>
                <c:pt idx="2">
                  <c:v>2014</c:v>
                </c:pt>
                <c:pt idx="3">
                  <c:v>2015</c:v>
                </c:pt>
              </c:numCache>
            </c:numRef>
          </c:cat>
          <c:val>
            <c:numRef>
              <c:f>Sheet1!$D$2:$D$5</c:f>
              <c:numCache>
                <c:formatCode>#,##0</c:formatCode>
                <c:ptCount val="4"/>
                <c:pt idx="0">
                  <c:v>164169</c:v>
                </c:pt>
                <c:pt idx="1">
                  <c:v>146528</c:v>
                </c:pt>
                <c:pt idx="2">
                  <c:v>136252</c:v>
                </c:pt>
                <c:pt idx="3">
                  <c:v>146759</c:v>
                </c:pt>
              </c:numCache>
            </c:numRef>
          </c:val>
        </c:ser>
        <c:ser>
          <c:idx val="3"/>
          <c:order val="3"/>
          <c:tx>
            <c:strRef>
              <c:f>Sheet1!$E$1</c:f>
              <c:strCache>
                <c:ptCount val="1"/>
                <c:pt idx="0">
                  <c:v>Zajecar District</c:v>
                </c:pt>
              </c:strCache>
            </c:strRef>
          </c:tx>
          <c:cat>
            <c:numRef>
              <c:f>Sheet1!$A$2:$A$5</c:f>
              <c:numCache>
                <c:formatCode>General</c:formatCode>
                <c:ptCount val="4"/>
                <c:pt idx="0">
                  <c:v>2012</c:v>
                </c:pt>
                <c:pt idx="1">
                  <c:v>2013</c:v>
                </c:pt>
                <c:pt idx="2">
                  <c:v>2014</c:v>
                </c:pt>
                <c:pt idx="3">
                  <c:v>2015</c:v>
                </c:pt>
              </c:numCache>
            </c:numRef>
          </c:cat>
          <c:val>
            <c:numRef>
              <c:f>Sheet1!$E$2:$E$5</c:f>
              <c:numCache>
                <c:formatCode>#,##0</c:formatCode>
                <c:ptCount val="4"/>
                <c:pt idx="0">
                  <c:v>431066</c:v>
                </c:pt>
                <c:pt idx="1">
                  <c:v>426906</c:v>
                </c:pt>
                <c:pt idx="2">
                  <c:v>319554</c:v>
                </c:pt>
                <c:pt idx="3">
                  <c:v>319909</c:v>
                </c:pt>
              </c:numCache>
            </c:numRef>
          </c:val>
        </c:ser>
        <c:ser>
          <c:idx val="4"/>
          <c:order val="4"/>
          <c:tx>
            <c:strRef>
              <c:f>Sheet1!$F$1</c:f>
              <c:strCache>
                <c:ptCount val="1"/>
                <c:pt idx="0">
                  <c:v>Nis District</c:v>
                </c:pt>
              </c:strCache>
            </c:strRef>
          </c:tx>
          <c:cat>
            <c:numRef>
              <c:f>Sheet1!$A$2:$A$5</c:f>
              <c:numCache>
                <c:formatCode>General</c:formatCode>
                <c:ptCount val="4"/>
                <c:pt idx="0">
                  <c:v>2012</c:v>
                </c:pt>
                <c:pt idx="1">
                  <c:v>2013</c:v>
                </c:pt>
                <c:pt idx="2">
                  <c:v>2014</c:v>
                </c:pt>
                <c:pt idx="3">
                  <c:v>2015</c:v>
                </c:pt>
              </c:numCache>
            </c:numRef>
          </c:cat>
          <c:val>
            <c:numRef>
              <c:f>Sheet1!$F$2:$F$5</c:f>
              <c:numCache>
                <c:formatCode>#,##0</c:formatCode>
                <c:ptCount val="4"/>
                <c:pt idx="0">
                  <c:v>290984</c:v>
                </c:pt>
                <c:pt idx="1">
                  <c:v>126393</c:v>
                </c:pt>
                <c:pt idx="2">
                  <c:v>134990</c:v>
                </c:pt>
                <c:pt idx="3">
                  <c:v>158919</c:v>
                </c:pt>
              </c:numCache>
            </c:numRef>
          </c:val>
        </c:ser>
        <c:ser>
          <c:idx val="5"/>
          <c:order val="5"/>
          <c:tx>
            <c:strRef>
              <c:f>Sheet1!$G$1</c:f>
              <c:strCache>
                <c:ptCount val="1"/>
                <c:pt idx="0">
                  <c:v>Toplica District</c:v>
                </c:pt>
              </c:strCache>
            </c:strRef>
          </c:tx>
          <c:cat>
            <c:numRef>
              <c:f>Sheet1!$A$2:$A$5</c:f>
              <c:numCache>
                <c:formatCode>General</c:formatCode>
                <c:ptCount val="4"/>
                <c:pt idx="0">
                  <c:v>2012</c:v>
                </c:pt>
                <c:pt idx="1">
                  <c:v>2013</c:v>
                </c:pt>
                <c:pt idx="2">
                  <c:v>2014</c:v>
                </c:pt>
                <c:pt idx="3">
                  <c:v>2015</c:v>
                </c:pt>
              </c:numCache>
            </c:numRef>
          </c:cat>
          <c:val>
            <c:numRef>
              <c:f>Sheet1!$G$2:$G$5</c:f>
              <c:numCache>
                <c:formatCode>#,##0</c:formatCode>
                <c:ptCount val="4"/>
                <c:pt idx="0">
                  <c:v>151360</c:v>
                </c:pt>
                <c:pt idx="1">
                  <c:v>133303</c:v>
                </c:pt>
                <c:pt idx="2">
                  <c:v>135179</c:v>
                </c:pt>
                <c:pt idx="3">
                  <c:v>157013</c:v>
                </c:pt>
              </c:numCache>
            </c:numRef>
          </c:val>
        </c:ser>
        <c:ser>
          <c:idx val="6"/>
          <c:order val="6"/>
          <c:tx>
            <c:strRef>
              <c:f>Sheet1!$H$1</c:f>
              <c:strCache>
                <c:ptCount val="1"/>
                <c:pt idx="0">
                  <c:v>Pirot District</c:v>
                </c:pt>
              </c:strCache>
            </c:strRef>
          </c:tx>
          <c:cat>
            <c:numRef>
              <c:f>Sheet1!$A$2:$A$5</c:f>
              <c:numCache>
                <c:formatCode>General</c:formatCode>
                <c:ptCount val="4"/>
                <c:pt idx="0">
                  <c:v>2012</c:v>
                </c:pt>
                <c:pt idx="1">
                  <c:v>2013</c:v>
                </c:pt>
                <c:pt idx="2">
                  <c:v>2014</c:v>
                </c:pt>
                <c:pt idx="3">
                  <c:v>2015</c:v>
                </c:pt>
              </c:numCache>
            </c:numRef>
          </c:cat>
          <c:val>
            <c:numRef>
              <c:f>Sheet1!$H$2:$H$5</c:f>
              <c:numCache>
                <c:formatCode>#,##0</c:formatCode>
                <c:ptCount val="4"/>
                <c:pt idx="0">
                  <c:v>26367</c:v>
                </c:pt>
                <c:pt idx="1">
                  <c:v>18556</c:v>
                </c:pt>
                <c:pt idx="2">
                  <c:v>28319</c:v>
                </c:pt>
                <c:pt idx="3">
                  <c:v>24393</c:v>
                </c:pt>
              </c:numCache>
            </c:numRef>
          </c:val>
        </c:ser>
        <c:ser>
          <c:idx val="7"/>
          <c:order val="7"/>
          <c:tx>
            <c:strRef>
              <c:f>Sheet1!$I$1</c:f>
              <c:strCache>
                <c:ptCount val="1"/>
                <c:pt idx="0">
                  <c:v>Jablanica District</c:v>
                </c:pt>
              </c:strCache>
            </c:strRef>
          </c:tx>
          <c:cat>
            <c:numRef>
              <c:f>Sheet1!$A$2:$A$5</c:f>
              <c:numCache>
                <c:formatCode>General</c:formatCode>
                <c:ptCount val="4"/>
                <c:pt idx="0">
                  <c:v>2012</c:v>
                </c:pt>
                <c:pt idx="1">
                  <c:v>2013</c:v>
                </c:pt>
                <c:pt idx="2">
                  <c:v>2014</c:v>
                </c:pt>
                <c:pt idx="3">
                  <c:v>2015</c:v>
                </c:pt>
              </c:numCache>
            </c:numRef>
          </c:cat>
          <c:val>
            <c:numRef>
              <c:f>Sheet1!$I$2:$I$5</c:f>
              <c:numCache>
                <c:formatCode>#,##0</c:formatCode>
                <c:ptCount val="4"/>
                <c:pt idx="0">
                  <c:v>73036</c:v>
                </c:pt>
                <c:pt idx="1">
                  <c:v>81546</c:v>
                </c:pt>
                <c:pt idx="2">
                  <c:v>72910</c:v>
                </c:pt>
                <c:pt idx="3">
                  <c:v>70279</c:v>
                </c:pt>
              </c:numCache>
            </c:numRef>
          </c:val>
        </c:ser>
        <c:ser>
          <c:idx val="8"/>
          <c:order val="8"/>
          <c:tx>
            <c:strRef>
              <c:f>Sheet1!$J$1</c:f>
              <c:strCache>
                <c:ptCount val="1"/>
                <c:pt idx="0">
                  <c:v>Pcinja District</c:v>
                </c:pt>
              </c:strCache>
            </c:strRef>
          </c:tx>
          <c:cat>
            <c:numRef>
              <c:f>Sheet1!$A$2:$A$5</c:f>
              <c:numCache>
                <c:formatCode>General</c:formatCode>
                <c:ptCount val="4"/>
                <c:pt idx="0">
                  <c:v>2012</c:v>
                </c:pt>
                <c:pt idx="1">
                  <c:v>2013</c:v>
                </c:pt>
                <c:pt idx="2">
                  <c:v>2014</c:v>
                </c:pt>
                <c:pt idx="3">
                  <c:v>2015</c:v>
                </c:pt>
              </c:numCache>
            </c:numRef>
          </c:cat>
          <c:val>
            <c:numRef>
              <c:f>Sheet1!$J$2:$J$5</c:f>
              <c:numCache>
                <c:formatCode>#,##0</c:formatCode>
                <c:ptCount val="4"/>
                <c:pt idx="0">
                  <c:v>88105</c:v>
                </c:pt>
                <c:pt idx="1">
                  <c:v>80978</c:v>
                </c:pt>
                <c:pt idx="2">
                  <c:v>64803</c:v>
                </c:pt>
                <c:pt idx="3">
                  <c:v>62536</c:v>
                </c:pt>
              </c:numCache>
            </c:numRef>
          </c:val>
        </c:ser>
        <c:axId val="130620032"/>
        <c:axId val="130642304"/>
      </c:barChart>
      <c:catAx>
        <c:axId val="130620032"/>
        <c:scaling>
          <c:orientation val="minMax"/>
        </c:scaling>
        <c:axPos val="b"/>
        <c:numFmt formatCode="General" sourceLinked="1"/>
        <c:tickLblPos val="nextTo"/>
        <c:txPr>
          <a:bodyPr/>
          <a:lstStyle/>
          <a:p>
            <a:pPr>
              <a:defRPr lang="sr-Latn-CS"/>
            </a:pPr>
            <a:endParaRPr lang="en-US"/>
          </a:p>
        </c:txPr>
        <c:crossAx val="130642304"/>
        <c:crosses val="autoZero"/>
        <c:auto val="1"/>
        <c:lblAlgn val="ctr"/>
        <c:lblOffset val="100"/>
      </c:catAx>
      <c:valAx>
        <c:axId val="130642304"/>
        <c:scaling>
          <c:orientation val="minMax"/>
        </c:scaling>
        <c:axPos val="l"/>
        <c:majorGridlines/>
        <c:numFmt formatCode="#,##0" sourceLinked="1"/>
        <c:tickLblPos val="nextTo"/>
        <c:txPr>
          <a:bodyPr/>
          <a:lstStyle/>
          <a:p>
            <a:pPr>
              <a:defRPr lang="sr-Latn-CS"/>
            </a:pPr>
            <a:endParaRPr lang="en-US"/>
          </a:p>
        </c:txPr>
        <c:crossAx val="130620032"/>
        <c:crosses val="autoZero"/>
        <c:crossBetween val="between"/>
      </c:valAx>
    </c:plotArea>
    <c:legend>
      <c:legendPos val="r"/>
      <c:txPr>
        <a:bodyPr/>
        <a:lstStyle/>
        <a:p>
          <a:pPr>
            <a:defRPr lang="sr-Latn-C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B740-3D42-4B1C-8EA6-C0A6CDA1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Gaga</dc:creator>
  <cp:lastModifiedBy>Pedja</cp:lastModifiedBy>
  <cp:revision>5</cp:revision>
  <dcterms:created xsi:type="dcterms:W3CDTF">2017-10-14T08:37:00Z</dcterms:created>
  <dcterms:modified xsi:type="dcterms:W3CDTF">2017-10-15T10:23:00Z</dcterms:modified>
</cp:coreProperties>
</file>